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489" w:rsidRDefault="00D71489">
      <w:pPr>
        <w:spacing w:after="0" w:line="240" w:lineRule="auto"/>
        <w:jc w:val="center"/>
        <w:rPr>
          <w:rFonts w:ascii="Arial" w:hAnsi="Arial" w:cs="Arial"/>
          <w:b/>
          <w:sz w:val="24"/>
          <w:szCs w:val="24"/>
        </w:rPr>
      </w:pPr>
      <w:r w:rsidRPr="00755F65">
        <w:rPr>
          <w:rFonts w:ascii="Arial" w:hAnsi="Arial" w:cs="Arial"/>
          <w:b/>
          <w:sz w:val="24"/>
          <w:szCs w:val="24"/>
        </w:rPr>
        <w:t xml:space="preserve">GBEP Working Group on </w:t>
      </w:r>
      <w:smartTag w:uri="urn:schemas-microsoft-com:office:smarttags" w:element="place">
        <w:smartTag w:uri="urn:schemas-microsoft-com:office:smarttags" w:element="PlaceName">
          <w:r w:rsidRPr="00755F65">
            <w:rPr>
              <w:rFonts w:ascii="Arial" w:hAnsi="Arial" w:cs="Arial"/>
              <w:b/>
              <w:sz w:val="24"/>
              <w:szCs w:val="24"/>
            </w:rPr>
            <w:t>Capacity</w:t>
          </w:r>
        </w:smartTag>
        <w:r w:rsidRPr="00755F65">
          <w:rPr>
            <w:rFonts w:ascii="Arial" w:hAnsi="Arial" w:cs="Arial"/>
            <w:b/>
            <w:sz w:val="24"/>
            <w:szCs w:val="24"/>
          </w:rPr>
          <w:t xml:space="preserve"> </w:t>
        </w:r>
        <w:smartTag w:uri="urn:schemas-microsoft-com:office:smarttags" w:element="PlaceType">
          <w:r w:rsidRPr="00755F65">
            <w:rPr>
              <w:rFonts w:ascii="Arial" w:hAnsi="Arial" w:cs="Arial"/>
              <w:b/>
              <w:sz w:val="24"/>
              <w:szCs w:val="24"/>
            </w:rPr>
            <w:t>Building</w:t>
          </w:r>
        </w:smartTag>
      </w:smartTag>
      <w:r w:rsidRPr="00755F65">
        <w:rPr>
          <w:rFonts w:ascii="Arial" w:hAnsi="Arial" w:cs="Arial"/>
          <w:b/>
          <w:sz w:val="24"/>
          <w:szCs w:val="24"/>
        </w:rPr>
        <w:t xml:space="preserve"> </w:t>
      </w:r>
    </w:p>
    <w:p w:rsidR="00D71489" w:rsidRDefault="00D71489">
      <w:pPr>
        <w:spacing w:after="0" w:line="240" w:lineRule="auto"/>
        <w:jc w:val="center"/>
        <w:rPr>
          <w:rFonts w:ascii="Arial" w:hAnsi="Arial" w:cs="Arial"/>
          <w:b/>
          <w:sz w:val="24"/>
          <w:szCs w:val="24"/>
        </w:rPr>
      </w:pPr>
      <w:r w:rsidRPr="00755F65">
        <w:rPr>
          <w:rFonts w:ascii="Arial" w:hAnsi="Arial" w:cs="Arial"/>
          <w:b/>
          <w:sz w:val="24"/>
          <w:szCs w:val="24"/>
        </w:rPr>
        <w:t>for Sustainable Bioenergy</w:t>
      </w:r>
    </w:p>
    <w:p w:rsidR="008A7E7B" w:rsidRDefault="008A7E7B">
      <w:pPr>
        <w:spacing w:after="0" w:line="240" w:lineRule="auto"/>
        <w:rPr>
          <w:rFonts w:ascii="Arial" w:hAnsi="Arial" w:cs="Arial"/>
          <w:sz w:val="24"/>
          <w:szCs w:val="24"/>
        </w:rPr>
      </w:pPr>
    </w:p>
    <w:p w:rsidR="00D71489" w:rsidRDefault="00D71489">
      <w:pPr>
        <w:spacing w:after="0" w:line="240" w:lineRule="auto"/>
        <w:jc w:val="center"/>
        <w:rPr>
          <w:rFonts w:ascii="Arial" w:hAnsi="Arial" w:cs="Arial"/>
          <w:sz w:val="24"/>
          <w:szCs w:val="24"/>
        </w:rPr>
      </w:pPr>
      <w:r w:rsidRPr="00755F65">
        <w:rPr>
          <w:rFonts w:ascii="Arial" w:hAnsi="Arial" w:cs="Arial"/>
          <w:b/>
          <w:sz w:val="24"/>
          <w:szCs w:val="24"/>
        </w:rPr>
        <w:t xml:space="preserve">ACTIVITY GROUP </w:t>
      </w:r>
      <w:r>
        <w:rPr>
          <w:rFonts w:ascii="Arial" w:hAnsi="Arial" w:cs="Arial"/>
          <w:b/>
          <w:sz w:val="24"/>
          <w:szCs w:val="24"/>
        </w:rPr>
        <w:t>5</w:t>
      </w:r>
    </w:p>
    <w:p w:rsidR="00D71489" w:rsidRDefault="00D71489">
      <w:pPr>
        <w:spacing w:after="0" w:line="240" w:lineRule="auto"/>
        <w:jc w:val="center"/>
        <w:rPr>
          <w:rFonts w:ascii="Arial" w:hAnsi="Arial" w:cs="Arial"/>
          <w:b/>
          <w:i/>
          <w:sz w:val="24"/>
          <w:szCs w:val="24"/>
        </w:rPr>
      </w:pPr>
      <w:r w:rsidRPr="00EE0D4A">
        <w:rPr>
          <w:rFonts w:ascii="Arial" w:hAnsi="Arial" w:cs="Arial"/>
          <w:b/>
          <w:i/>
          <w:sz w:val="24"/>
          <w:szCs w:val="24"/>
        </w:rPr>
        <w:t xml:space="preserve">The Global Renewable Energy Atlas – </w:t>
      </w:r>
      <w:proofErr w:type="spellStart"/>
      <w:r w:rsidRPr="008A7E7B">
        <w:rPr>
          <w:rFonts w:ascii="Arial" w:hAnsi="Arial" w:cs="Arial"/>
          <w:b/>
          <w:i/>
          <w:sz w:val="24"/>
          <w:szCs w:val="24"/>
        </w:rPr>
        <w:t>Bioenergy</w:t>
      </w:r>
      <w:proofErr w:type="spellEnd"/>
      <w:r w:rsidRPr="008A7E7B">
        <w:rPr>
          <w:rFonts w:ascii="Arial" w:hAnsi="Arial" w:cs="Arial"/>
          <w:b/>
          <w:i/>
          <w:sz w:val="24"/>
          <w:szCs w:val="24"/>
        </w:rPr>
        <w:t xml:space="preserve"> Component</w:t>
      </w:r>
    </w:p>
    <w:p w:rsidR="008A7E7B" w:rsidRPr="007A2FF7" w:rsidRDefault="008A7E7B" w:rsidP="008A7E7B">
      <w:pPr>
        <w:pStyle w:val="Footer"/>
        <w:jc w:val="center"/>
        <w:rPr>
          <w:rFonts w:ascii="Arial" w:hAnsi="Arial" w:cs="Arial"/>
          <w:sz w:val="20"/>
          <w:szCs w:val="20"/>
        </w:rPr>
      </w:pPr>
      <w:r w:rsidRPr="007A2FF7">
        <w:rPr>
          <w:rFonts w:ascii="Arial" w:hAnsi="Arial" w:cs="Arial"/>
          <w:sz w:val="20"/>
          <w:szCs w:val="20"/>
        </w:rPr>
        <w:t>Draft 29 January 2013</w:t>
      </w:r>
    </w:p>
    <w:p w:rsidR="008A7E7B" w:rsidRPr="008A7E7B" w:rsidRDefault="008A7E7B">
      <w:pPr>
        <w:spacing w:after="0" w:line="240" w:lineRule="auto"/>
        <w:jc w:val="center"/>
        <w:rPr>
          <w:rFonts w:ascii="Arial" w:hAnsi="Arial" w:cs="Arial"/>
          <w:b/>
          <w:i/>
          <w:sz w:val="24"/>
          <w:szCs w:val="24"/>
        </w:rPr>
      </w:pPr>
    </w:p>
    <w:p w:rsidR="00D71489" w:rsidRPr="008A7E7B" w:rsidRDefault="00D71489" w:rsidP="00D314C5">
      <w:pPr>
        <w:spacing w:after="0" w:line="240" w:lineRule="auto"/>
        <w:rPr>
          <w:b/>
        </w:rPr>
      </w:pPr>
    </w:p>
    <w:p w:rsidR="00D71489" w:rsidRPr="008A7E7B" w:rsidRDefault="00D71489" w:rsidP="00D314C5">
      <w:pPr>
        <w:spacing w:after="120" w:line="240" w:lineRule="auto"/>
        <w:rPr>
          <w:rFonts w:ascii="Arial" w:hAnsi="Arial" w:cs="Arial"/>
          <w:b/>
        </w:rPr>
      </w:pPr>
      <w:r w:rsidRPr="008A7E7B">
        <w:rPr>
          <w:rFonts w:ascii="Arial" w:hAnsi="Arial" w:cs="Arial"/>
          <w:b/>
          <w:u w:val="single"/>
        </w:rPr>
        <w:t>Background on The Global Renewable Energy Atlas</w:t>
      </w:r>
    </w:p>
    <w:p w:rsidR="00D71489" w:rsidRPr="008A7E7B" w:rsidRDefault="00D71489" w:rsidP="00D314C5">
      <w:pPr>
        <w:autoSpaceDE w:val="0"/>
        <w:autoSpaceDN w:val="0"/>
        <w:spacing w:after="120" w:line="240" w:lineRule="auto"/>
        <w:jc w:val="both"/>
        <w:rPr>
          <w:rFonts w:ascii="Arial" w:hAnsi="Arial" w:cs="Arial"/>
          <w:color w:val="000000"/>
          <w:lang w:eastAsia="en-GB"/>
        </w:rPr>
      </w:pPr>
      <w:r w:rsidRPr="008A7E7B">
        <w:rPr>
          <w:rFonts w:ascii="Arial" w:hAnsi="Arial" w:cs="Arial"/>
          <w:color w:val="000000"/>
          <w:lang w:eastAsia="en-GB"/>
        </w:rPr>
        <w:t xml:space="preserve">Doubling of the share of renewable energy globally and ensuring universal energy access requires identifying the most appropriate technologies and available resources for each national, regional, and local circumstance. This identification requires an assessment of local resources and conditions. The rapid deployment of investments in energy infrastructure and access projects will require accurate information, transparent decision-making, and detailed planning.  Each of these steps requires a detailed assessment of the potential for each renewable energy resource throughout the world. </w:t>
      </w:r>
    </w:p>
    <w:p w:rsidR="00D71489" w:rsidRPr="008A7E7B" w:rsidRDefault="00D71489" w:rsidP="00D314C5">
      <w:pPr>
        <w:autoSpaceDE w:val="0"/>
        <w:autoSpaceDN w:val="0"/>
        <w:spacing w:after="120" w:line="240" w:lineRule="auto"/>
        <w:jc w:val="both"/>
        <w:rPr>
          <w:rFonts w:ascii="Arial" w:hAnsi="Arial" w:cs="Arial"/>
          <w:color w:val="000000"/>
          <w:lang w:eastAsia="en-GB"/>
        </w:rPr>
      </w:pPr>
      <w:r w:rsidRPr="008A7E7B">
        <w:rPr>
          <w:rFonts w:ascii="Arial" w:hAnsi="Arial" w:cs="Arial"/>
          <w:color w:val="000000"/>
          <w:lang w:eastAsia="en-GB"/>
        </w:rPr>
        <w:t>A large technical and knowledge gap exists between nations having access to the necessary funding, technologies, and expertise to evaluate their national potentials and those that do not currently poses those abilities. The Global Renewable Energy Atlas initiative, operated by IRENA, aims at gathering the best institutes, datasets and methods to develop a single open-source internet-based platform, designed from the recommendations of the end-users, and developed by a large international partnership.</w:t>
      </w:r>
    </w:p>
    <w:p w:rsidR="00D71489" w:rsidRPr="008A7E7B" w:rsidRDefault="00D71489" w:rsidP="00D314C5">
      <w:pPr>
        <w:autoSpaceDE w:val="0"/>
        <w:autoSpaceDN w:val="0"/>
        <w:spacing w:after="120" w:line="240" w:lineRule="auto"/>
        <w:jc w:val="both"/>
        <w:rPr>
          <w:rFonts w:ascii="Arial" w:hAnsi="Arial" w:cs="Arial"/>
          <w:color w:val="000000"/>
          <w:lang w:eastAsia="en-GB"/>
        </w:rPr>
      </w:pPr>
      <w:r w:rsidRPr="008A7E7B">
        <w:rPr>
          <w:rFonts w:ascii="Arial" w:hAnsi="Arial" w:cs="Arial"/>
          <w:color w:val="000000"/>
          <w:lang w:eastAsia="en-GB"/>
        </w:rPr>
        <w:t xml:space="preserve">The initiative started with the development of the Global Solar and Wind Atlas, developed in 2011 and 2012, in partnership with the multilateral Solar and Wind working group of the Clean Energy Ministerial. </w:t>
      </w:r>
      <w:r w:rsidR="00610DD8" w:rsidRPr="008A7E7B">
        <w:rPr>
          <w:rFonts w:ascii="Arial" w:hAnsi="Arial" w:cs="Arial"/>
          <w:color w:val="000000"/>
          <w:lang w:eastAsia="en-GB"/>
        </w:rPr>
        <w:t>The partnership was expanded during the third Clean Energy Ministerial (London, 2012), the CoP</w:t>
      </w:r>
      <w:r w:rsidR="002E099A" w:rsidRPr="008A7E7B">
        <w:rPr>
          <w:rFonts w:ascii="Arial" w:hAnsi="Arial" w:cs="Arial"/>
          <w:color w:val="000000"/>
          <w:lang w:eastAsia="en-GB"/>
        </w:rPr>
        <w:t>18</w:t>
      </w:r>
      <w:r w:rsidR="00610DD8" w:rsidRPr="008A7E7B">
        <w:rPr>
          <w:rFonts w:ascii="Arial" w:hAnsi="Arial" w:cs="Arial"/>
          <w:color w:val="000000"/>
          <w:lang w:eastAsia="en-GB"/>
        </w:rPr>
        <w:t xml:space="preserve"> (Doha, 2012), and the third IRENA Assembly (Abu Dhabi, 2013). </w:t>
      </w:r>
      <w:r w:rsidRPr="008A7E7B">
        <w:rPr>
          <w:rFonts w:ascii="Arial" w:hAnsi="Arial" w:cs="Arial"/>
          <w:color w:val="000000"/>
          <w:lang w:eastAsia="en-GB"/>
        </w:rPr>
        <w:t xml:space="preserve">At the time of writing, </w:t>
      </w:r>
      <w:r w:rsidR="00610DD8" w:rsidRPr="008A7E7B">
        <w:rPr>
          <w:rFonts w:ascii="Arial" w:hAnsi="Arial" w:cs="Arial"/>
          <w:color w:val="000000"/>
          <w:lang w:eastAsia="en-GB"/>
        </w:rPr>
        <w:t xml:space="preserve">thirty-nine </w:t>
      </w:r>
      <w:r w:rsidRPr="008A7E7B">
        <w:rPr>
          <w:rFonts w:ascii="Arial" w:hAnsi="Arial" w:cs="Arial"/>
          <w:color w:val="000000"/>
          <w:lang w:eastAsia="en-GB"/>
        </w:rPr>
        <w:t xml:space="preserve">countries are directly involved in the initiative, and are committing man-power and datasets to the programme, by involving their national institutes. </w:t>
      </w:r>
    </w:p>
    <w:p w:rsidR="00D71489" w:rsidRPr="008A7E7B" w:rsidRDefault="00D71489" w:rsidP="00D314C5">
      <w:pPr>
        <w:autoSpaceDE w:val="0"/>
        <w:autoSpaceDN w:val="0"/>
        <w:spacing w:after="120" w:line="240" w:lineRule="auto"/>
        <w:jc w:val="both"/>
        <w:rPr>
          <w:rFonts w:ascii="Arial" w:hAnsi="Arial" w:cs="Arial"/>
          <w:color w:val="000000"/>
          <w:lang w:eastAsia="en-GB"/>
        </w:rPr>
      </w:pPr>
      <w:r w:rsidRPr="008A7E7B">
        <w:rPr>
          <w:rFonts w:ascii="Arial" w:hAnsi="Arial" w:cs="Arial"/>
          <w:color w:val="000000"/>
          <w:lang w:eastAsia="en-GB"/>
        </w:rPr>
        <w:t>The mandate of IRENA should address all renewable energy resources, and the initiative would expand into a Global Renewable Energy Atlas by including bioenergy, geothermal energy, and hydropower in 2013 and 2014, and marine energies in 2015.</w:t>
      </w:r>
    </w:p>
    <w:p w:rsidR="00D71489" w:rsidRPr="008A7E7B" w:rsidRDefault="00D71489" w:rsidP="00D314C5">
      <w:pPr>
        <w:spacing w:after="120" w:line="240" w:lineRule="auto"/>
        <w:jc w:val="both"/>
        <w:rPr>
          <w:rFonts w:ascii="Arial" w:hAnsi="Arial" w:cs="Arial"/>
        </w:rPr>
      </w:pPr>
      <w:r w:rsidRPr="008A7E7B">
        <w:rPr>
          <w:rFonts w:ascii="Arial" w:hAnsi="Arial" w:cs="Arial"/>
        </w:rPr>
        <w:t xml:space="preserve">The partnership strategy does not duplicate the work or efforts of existing stakeholder networks and initiatives, including the work of relevant members. The strategy </w:t>
      </w:r>
      <w:r w:rsidR="00013CCB" w:rsidRPr="008A7E7B">
        <w:rPr>
          <w:rFonts w:ascii="Arial" w:hAnsi="Arial" w:cs="Arial"/>
        </w:rPr>
        <w:t>involves</w:t>
      </w:r>
      <w:r w:rsidRPr="008A7E7B">
        <w:rPr>
          <w:rFonts w:ascii="Arial" w:hAnsi="Arial" w:cs="Arial"/>
        </w:rPr>
        <w:t xml:space="preserve"> build</w:t>
      </w:r>
      <w:r w:rsidR="00013CCB" w:rsidRPr="008A7E7B">
        <w:rPr>
          <w:rFonts w:ascii="Arial" w:hAnsi="Arial" w:cs="Arial"/>
        </w:rPr>
        <w:t>ing</w:t>
      </w:r>
      <w:r w:rsidRPr="008A7E7B">
        <w:rPr>
          <w:rFonts w:ascii="Arial" w:hAnsi="Arial" w:cs="Arial"/>
        </w:rPr>
        <w:t xml:space="preserve"> on existing partnerships. Similarly to the Solar and Wind component, which is operated in partnership with the Clean Energy Ministerial, the technical groups should be jointly operated with existing networks or organizations. </w:t>
      </w:r>
    </w:p>
    <w:p w:rsidR="00D71489" w:rsidRDefault="00D71489" w:rsidP="00D314C5">
      <w:pPr>
        <w:spacing w:after="120" w:line="240" w:lineRule="auto"/>
        <w:jc w:val="both"/>
        <w:rPr>
          <w:rFonts w:ascii="Arial" w:hAnsi="Arial" w:cs="Arial"/>
        </w:rPr>
      </w:pPr>
      <w:r w:rsidRPr="008A7E7B">
        <w:rPr>
          <w:rFonts w:ascii="Arial" w:hAnsi="Arial" w:cs="Arial"/>
        </w:rPr>
        <w:t xml:space="preserve">For bioenergy, it is proposed to create an activity group within the GBEP Working Group on Capacity Building (WGCB), co-led and operated by IRENA and the GBEP Secretariat and in cooperation with GBEP Partners and Observers and any other relevant partners. </w:t>
      </w:r>
    </w:p>
    <w:p w:rsidR="008A7E7B" w:rsidRDefault="008A7E7B" w:rsidP="00D314C5">
      <w:pPr>
        <w:spacing w:after="120" w:line="240" w:lineRule="auto"/>
        <w:jc w:val="both"/>
        <w:rPr>
          <w:rFonts w:ascii="Arial" w:hAnsi="Arial" w:cs="Arial"/>
        </w:rPr>
      </w:pPr>
    </w:p>
    <w:p w:rsidR="00D71489" w:rsidRPr="008A7E7B" w:rsidRDefault="00D71489" w:rsidP="00D314C5">
      <w:pPr>
        <w:autoSpaceDE w:val="0"/>
        <w:autoSpaceDN w:val="0"/>
        <w:spacing w:after="120" w:line="240" w:lineRule="auto"/>
        <w:rPr>
          <w:rFonts w:ascii="Arial" w:hAnsi="Arial" w:cs="Arial"/>
          <w:b/>
          <w:bCs/>
          <w:u w:val="single"/>
        </w:rPr>
      </w:pPr>
      <w:r w:rsidRPr="008A7E7B">
        <w:rPr>
          <w:rFonts w:ascii="Arial" w:hAnsi="Arial" w:cs="Arial"/>
          <w:b/>
          <w:bCs/>
          <w:u w:val="single"/>
        </w:rPr>
        <w:t>Outcomes</w:t>
      </w:r>
    </w:p>
    <w:p w:rsidR="00D71489" w:rsidRPr="008A7E7B" w:rsidRDefault="00D71489" w:rsidP="00D314C5">
      <w:pPr>
        <w:autoSpaceDE w:val="0"/>
        <w:autoSpaceDN w:val="0"/>
        <w:spacing w:after="120" w:line="240" w:lineRule="auto"/>
        <w:jc w:val="both"/>
        <w:rPr>
          <w:rFonts w:ascii="Arial" w:hAnsi="Arial" w:cs="Arial"/>
          <w:bCs/>
        </w:rPr>
      </w:pPr>
      <w:r w:rsidRPr="008A7E7B">
        <w:rPr>
          <w:rFonts w:ascii="Arial" w:hAnsi="Arial" w:cs="Arial"/>
          <w:bCs/>
        </w:rPr>
        <w:t xml:space="preserve">The outcome of this programme is a single joint platform providing free and open access to the most advanced datasets and tools, to help countries willing to initiate the assessment of their renewable potentials. </w:t>
      </w:r>
    </w:p>
    <w:p w:rsidR="00D71489" w:rsidRPr="008A7E7B" w:rsidRDefault="00D71489" w:rsidP="00D314C5">
      <w:pPr>
        <w:spacing w:after="120" w:line="240" w:lineRule="auto"/>
        <w:jc w:val="both"/>
        <w:rPr>
          <w:rFonts w:ascii="Arial" w:hAnsi="Arial" w:cs="Arial"/>
          <w:bCs/>
        </w:rPr>
      </w:pPr>
      <w:r w:rsidRPr="008A7E7B">
        <w:rPr>
          <w:rFonts w:ascii="Arial" w:hAnsi="Arial" w:cs="Arial"/>
          <w:bCs/>
        </w:rPr>
        <w:lastRenderedPageBreak/>
        <w:t>The Internet-based platform is designed to raise awareness of technology opportunities, to limit the financial risk for countries willing to investigate their technical potentials further, and for companies willing to invest in a new market. To this end, it provides high quality resource maps from leading technical institutes worldwide, and simplified models for evaluating the technical information. The dataset is enriched by more detailed national atlases that are validated against measurement campaigns.</w:t>
      </w:r>
    </w:p>
    <w:p w:rsidR="00D71489" w:rsidRDefault="00D71489" w:rsidP="00D314C5">
      <w:pPr>
        <w:spacing w:after="120" w:line="240" w:lineRule="auto"/>
        <w:jc w:val="both"/>
        <w:rPr>
          <w:rFonts w:ascii="Arial" w:hAnsi="Arial" w:cs="Arial"/>
          <w:bCs/>
        </w:rPr>
      </w:pPr>
      <w:r w:rsidRPr="008A7E7B">
        <w:rPr>
          <w:rFonts w:ascii="Arial" w:hAnsi="Arial" w:cs="Arial"/>
          <w:bCs/>
        </w:rPr>
        <w:t>The ambition for this platform is to become a repository for high quality renewable energy resource data and a catalyst to trigger planning, policy development and attract investors in emerging and new renewable energy markets.</w:t>
      </w:r>
    </w:p>
    <w:p w:rsidR="008A7E7B" w:rsidRPr="008A7E7B" w:rsidRDefault="008A7E7B" w:rsidP="00D314C5">
      <w:pPr>
        <w:spacing w:after="120" w:line="240" w:lineRule="auto"/>
        <w:jc w:val="both"/>
        <w:rPr>
          <w:rFonts w:ascii="Arial" w:hAnsi="Arial" w:cs="Arial"/>
          <w:bCs/>
        </w:rPr>
      </w:pPr>
    </w:p>
    <w:p w:rsidR="00D71489" w:rsidRPr="008A7E7B" w:rsidRDefault="00D71489" w:rsidP="00D314C5">
      <w:pPr>
        <w:spacing w:after="120" w:line="240" w:lineRule="auto"/>
        <w:jc w:val="both"/>
        <w:rPr>
          <w:rFonts w:ascii="Arial" w:hAnsi="Arial" w:cs="Arial"/>
          <w:b/>
          <w:u w:val="single"/>
        </w:rPr>
      </w:pPr>
      <w:r w:rsidRPr="008A7E7B">
        <w:rPr>
          <w:rFonts w:ascii="Arial" w:hAnsi="Arial" w:cs="Arial"/>
          <w:b/>
          <w:u w:val="single"/>
        </w:rPr>
        <w:t>Focus of the Activity Group</w:t>
      </w:r>
    </w:p>
    <w:p w:rsidR="00582A59" w:rsidRPr="008A7E7B" w:rsidRDefault="00013CCB" w:rsidP="00256C6C">
      <w:pPr>
        <w:spacing w:after="120" w:line="240" w:lineRule="auto"/>
        <w:jc w:val="both"/>
        <w:rPr>
          <w:rFonts w:ascii="Arial" w:hAnsi="Arial" w:cs="Arial"/>
        </w:rPr>
      </w:pPr>
      <w:r w:rsidRPr="008A7E7B">
        <w:rPr>
          <w:rFonts w:ascii="Arial" w:hAnsi="Arial" w:cs="Arial"/>
        </w:rPr>
        <w:t xml:space="preserve">The assessment of the </w:t>
      </w:r>
      <w:r w:rsidR="00D71489" w:rsidRPr="008A7E7B">
        <w:rPr>
          <w:rFonts w:ascii="Arial" w:hAnsi="Arial" w:cs="Arial"/>
        </w:rPr>
        <w:t>bioenergy potential</w:t>
      </w:r>
      <w:r w:rsidRPr="008A7E7B">
        <w:rPr>
          <w:rFonts w:ascii="Arial" w:hAnsi="Arial" w:cs="Arial"/>
        </w:rPr>
        <w:t>s</w:t>
      </w:r>
      <w:r w:rsidR="00D71489" w:rsidRPr="008A7E7B">
        <w:rPr>
          <w:rFonts w:ascii="Arial" w:hAnsi="Arial" w:cs="Arial"/>
        </w:rPr>
        <w:t xml:space="preserve"> is a complex process, requiring large amounts of information, critical expertise, and ground-based analysis. </w:t>
      </w:r>
      <w:r w:rsidR="0089771F" w:rsidRPr="008A7E7B">
        <w:rPr>
          <w:rFonts w:ascii="Arial" w:hAnsi="Arial" w:cs="Arial"/>
        </w:rPr>
        <w:t xml:space="preserve">The </w:t>
      </w:r>
      <w:r w:rsidR="00256C6C" w:rsidRPr="008A7E7B">
        <w:rPr>
          <w:rFonts w:ascii="Arial" w:hAnsi="Arial" w:cs="Arial"/>
        </w:rPr>
        <w:t>complexity and depth of the analysis</w:t>
      </w:r>
      <w:r w:rsidR="0089771F" w:rsidRPr="008A7E7B">
        <w:rPr>
          <w:rFonts w:ascii="Arial" w:hAnsi="Arial" w:cs="Arial"/>
        </w:rPr>
        <w:t>,</w:t>
      </w:r>
      <w:r w:rsidR="00256C6C" w:rsidRPr="008A7E7B">
        <w:rPr>
          <w:rFonts w:ascii="Arial" w:hAnsi="Arial" w:cs="Arial"/>
        </w:rPr>
        <w:t xml:space="preserve"> </w:t>
      </w:r>
      <w:r w:rsidR="0089771F" w:rsidRPr="008A7E7B">
        <w:rPr>
          <w:rFonts w:ascii="Arial" w:hAnsi="Arial" w:cs="Arial"/>
        </w:rPr>
        <w:t xml:space="preserve">as well as the amount of data </w:t>
      </w:r>
      <w:r w:rsidR="00256C6C" w:rsidRPr="008A7E7B">
        <w:rPr>
          <w:rFonts w:ascii="Arial" w:hAnsi="Arial" w:cs="Arial"/>
        </w:rPr>
        <w:t>required to provide an accur</w:t>
      </w:r>
      <w:r w:rsidR="0089771F" w:rsidRPr="008A7E7B">
        <w:rPr>
          <w:rFonts w:ascii="Arial" w:hAnsi="Arial" w:cs="Arial"/>
        </w:rPr>
        <w:t>ate estimate of the bioenergy potential makes it unlikely to carry a detailed analysis at global scale</w:t>
      </w:r>
      <w:r w:rsidR="00582A59" w:rsidRPr="008A7E7B">
        <w:rPr>
          <w:rFonts w:ascii="Arial" w:hAnsi="Arial" w:cs="Arial"/>
        </w:rPr>
        <w:t xml:space="preserve"> with an online tool in a near future</w:t>
      </w:r>
      <w:r w:rsidR="0089771F" w:rsidRPr="008A7E7B">
        <w:rPr>
          <w:rFonts w:ascii="Arial" w:hAnsi="Arial" w:cs="Arial"/>
        </w:rPr>
        <w:t xml:space="preserve">. </w:t>
      </w:r>
    </w:p>
    <w:p w:rsidR="0089771F" w:rsidRDefault="00582A59" w:rsidP="00256C6C">
      <w:pPr>
        <w:spacing w:after="120" w:line="240" w:lineRule="auto"/>
        <w:jc w:val="both"/>
        <w:rPr>
          <w:rFonts w:ascii="Arial" w:hAnsi="Arial" w:cs="Arial"/>
        </w:rPr>
      </w:pPr>
      <w:r w:rsidRPr="008A7E7B">
        <w:rPr>
          <w:rFonts w:ascii="Arial" w:hAnsi="Arial" w:cs="Arial"/>
        </w:rPr>
        <w:t xml:space="preserve">The ambition </w:t>
      </w:r>
      <w:r w:rsidR="00013CCB" w:rsidRPr="008A7E7B">
        <w:rPr>
          <w:rFonts w:ascii="Arial" w:hAnsi="Arial" w:cs="Arial"/>
        </w:rPr>
        <w:t xml:space="preserve">level </w:t>
      </w:r>
      <w:r w:rsidRPr="008A7E7B">
        <w:rPr>
          <w:rFonts w:ascii="Arial" w:hAnsi="Arial" w:cs="Arial"/>
        </w:rPr>
        <w:t xml:space="preserve">of the Atlas shall be </w:t>
      </w:r>
      <w:r w:rsidR="0089771F" w:rsidRPr="008A7E7B">
        <w:rPr>
          <w:rFonts w:ascii="Arial" w:hAnsi="Arial" w:cs="Arial"/>
        </w:rPr>
        <w:t>commensurate with the q</w:t>
      </w:r>
      <w:r w:rsidRPr="008A7E7B">
        <w:rPr>
          <w:rFonts w:ascii="Arial" w:hAnsi="Arial" w:cs="Arial"/>
        </w:rPr>
        <w:t xml:space="preserve">uality of the input information, and </w:t>
      </w:r>
      <w:r w:rsidR="0089771F" w:rsidRPr="008A7E7B">
        <w:rPr>
          <w:rFonts w:ascii="Arial" w:hAnsi="Arial" w:cs="Arial"/>
        </w:rPr>
        <w:t>should be carefully determined by the activity group</w:t>
      </w:r>
      <w:r w:rsidRPr="008A7E7B">
        <w:rPr>
          <w:rFonts w:ascii="Arial" w:hAnsi="Arial" w:cs="Arial"/>
        </w:rPr>
        <w:t xml:space="preserve">. The limits of the outputs provided </w:t>
      </w:r>
      <w:r w:rsidR="000520F0" w:rsidRPr="008A7E7B">
        <w:rPr>
          <w:rFonts w:ascii="Arial" w:hAnsi="Arial" w:cs="Arial"/>
        </w:rPr>
        <w:t xml:space="preserve">by the Atlas </w:t>
      </w:r>
      <w:r w:rsidRPr="008A7E7B">
        <w:rPr>
          <w:rFonts w:ascii="Arial" w:hAnsi="Arial" w:cs="Arial"/>
        </w:rPr>
        <w:t>should be clearly specified. A disclaimer will be needed, spelling out the need for a ground validation process before making any concrete investment or licensing decisions.</w:t>
      </w:r>
    </w:p>
    <w:p w:rsidR="008A7E7B" w:rsidRPr="008A7E7B" w:rsidRDefault="008A7E7B" w:rsidP="00256C6C">
      <w:pPr>
        <w:spacing w:after="120" w:line="240" w:lineRule="auto"/>
        <w:jc w:val="both"/>
        <w:rPr>
          <w:rStyle w:val="IntenseEmphasis"/>
        </w:rPr>
      </w:pPr>
    </w:p>
    <w:p w:rsidR="00632A45" w:rsidRPr="008A7E7B" w:rsidRDefault="00632A45" w:rsidP="00256C6C">
      <w:pPr>
        <w:spacing w:after="120" w:line="240" w:lineRule="auto"/>
        <w:jc w:val="both"/>
        <w:rPr>
          <w:rFonts w:ascii="Arial" w:hAnsi="Arial" w:cs="Arial"/>
          <w:b/>
          <w:u w:val="single"/>
        </w:rPr>
      </w:pPr>
      <w:r w:rsidRPr="008A7E7B">
        <w:rPr>
          <w:rFonts w:ascii="Arial" w:hAnsi="Arial" w:cs="Arial"/>
          <w:b/>
          <w:u w:val="single"/>
        </w:rPr>
        <w:t>Data collection</w:t>
      </w:r>
    </w:p>
    <w:p w:rsidR="009661D9" w:rsidRPr="008A7E7B" w:rsidRDefault="00582A59" w:rsidP="00256C6C">
      <w:pPr>
        <w:spacing w:after="120" w:line="240" w:lineRule="auto"/>
        <w:jc w:val="both"/>
        <w:rPr>
          <w:rFonts w:ascii="Arial" w:hAnsi="Arial" w:cs="Arial"/>
        </w:rPr>
      </w:pPr>
      <w:r w:rsidRPr="008A7E7B">
        <w:rPr>
          <w:rFonts w:ascii="Arial" w:hAnsi="Arial" w:cs="Arial"/>
        </w:rPr>
        <w:t xml:space="preserve">The ambition </w:t>
      </w:r>
      <w:r w:rsidR="00013CCB" w:rsidRPr="008A7E7B">
        <w:rPr>
          <w:rFonts w:ascii="Arial" w:hAnsi="Arial" w:cs="Arial"/>
        </w:rPr>
        <w:t xml:space="preserve">level </w:t>
      </w:r>
      <w:r w:rsidR="00CE2B69" w:rsidRPr="008A7E7B">
        <w:rPr>
          <w:rFonts w:ascii="Arial" w:hAnsi="Arial" w:cs="Arial"/>
        </w:rPr>
        <w:t xml:space="preserve">of the initiative </w:t>
      </w:r>
      <w:r w:rsidRPr="008A7E7B">
        <w:rPr>
          <w:rFonts w:ascii="Arial" w:hAnsi="Arial" w:cs="Arial"/>
        </w:rPr>
        <w:t xml:space="preserve">will depend strongly on the datasets made available to the Atlas. </w:t>
      </w:r>
      <w:r w:rsidR="000520F0" w:rsidRPr="008A7E7B">
        <w:rPr>
          <w:rFonts w:ascii="Arial" w:hAnsi="Arial" w:cs="Arial"/>
        </w:rPr>
        <w:t xml:space="preserve">The Activity Group would first identify the existing datasets and databases that would be relevant for integration to the Atlas. </w:t>
      </w:r>
      <w:r w:rsidR="007F2161" w:rsidRPr="008A7E7B">
        <w:rPr>
          <w:rFonts w:ascii="Arial" w:hAnsi="Arial" w:cs="Arial"/>
        </w:rPr>
        <w:t>The architecture of the Atlas enables to make this information accessible to the end-users, and to be shared widely with other initiatives</w:t>
      </w:r>
      <w:r w:rsidR="00013CCB" w:rsidRPr="008A7E7B">
        <w:rPr>
          <w:rFonts w:ascii="Arial" w:hAnsi="Arial" w:cs="Arial"/>
        </w:rPr>
        <w:t xml:space="preserve">. </w:t>
      </w:r>
      <w:r w:rsidR="009661D9" w:rsidRPr="008A7E7B">
        <w:rPr>
          <w:rFonts w:ascii="Arial" w:hAnsi="Arial" w:cs="Arial"/>
        </w:rPr>
        <w:t>Accessing this information through an interactive online portal is an extremely relevant support to countries willing to initiate their own national assessment.</w:t>
      </w:r>
    </w:p>
    <w:p w:rsidR="009661D9" w:rsidRPr="008A7E7B" w:rsidRDefault="00013CCB" w:rsidP="00256C6C">
      <w:pPr>
        <w:spacing w:after="120" w:line="240" w:lineRule="auto"/>
        <w:jc w:val="both"/>
        <w:rPr>
          <w:rFonts w:ascii="Arial" w:hAnsi="Arial" w:cs="Arial"/>
        </w:rPr>
      </w:pPr>
      <w:r w:rsidRPr="008A7E7B">
        <w:rPr>
          <w:rFonts w:ascii="Arial" w:hAnsi="Arial" w:cs="Arial"/>
        </w:rPr>
        <w:t>Similar initiatives exist, and the same technology is for example already in use by FAO through its online geo-catalogue, which is directly compatible with the Global Atlas data catalogue (</w:t>
      </w:r>
      <w:hyperlink r:id="rId8" w:history="1">
        <w:r w:rsidRPr="008A7E7B">
          <w:rPr>
            <w:rStyle w:val="Hyperlink"/>
            <w:rFonts w:ascii="Arial" w:hAnsi="Arial" w:cs="Arial"/>
          </w:rPr>
          <w:t>http://www.fao.org/geonetwork/srv/en/main.home</w:t>
        </w:r>
      </w:hyperlink>
      <w:r w:rsidRPr="008A7E7B">
        <w:rPr>
          <w:rFonts w:ascii="Arial" w:hAnsi="Arial" w:cs="Arial"/>
        </w:rPr>
        <w:t>)</w:t>
      </w:r>
      <w:r w:rsidR="007F2161" w:rsidRPr="008A7E7B">
        <w:rPr>
          <w:rFonts w:ascii="Arial" w:hAnsi="Arial" w:cs="Arial"/>
        </w:rPr>
        <w:t xml:space="preserve">. </w:t>
      </w:r>
      <w:r w:rsidRPr="008A7E7B">
        <w:rPr>
          <w:rFonts w:ascii="Arial" w:hAnsi="Arial" w:cs="Arial"/>
        </w:rPr>
        <w:t>By linking the two geo</w:t>
      </w:r>
      <w:r w:rsidR="00CE2B69" w:rsidRPr="008A7E7B">
        <w:rPr>
          <w:rFonts w:ascii="Arial" w:hAnsi="Arial" w:cs="Arial"/>
        </w:rPr>
        <w:t>-</w:t>
      </w:r>
      <w:r w:rsidRPr="008A7E7B">
        <w:rPr>
          <w:rFonts w:ascii="Arial" w:hAnsi="Arial" w:cs="Arial"/>
        </w:rPr>
        <w:t xml:space="preserve">catalogues, the Atlas is directly able to load information of compatible formats from the FAO database, visualize and query this information through the online GIS. </w:t>
      </w:r>
      <w:r w:rsidR="009661D9" w:rsidRPr="008A7E7B">
        <w:rPr>
          <w:rFonts w:ascii="Arial" w:hAnsi="Arial" w:cs="Arial"/>
        </w:rPr>
        <w:t xml:space="preserve">Additional data layers and remotely hosted datasets from institutes and governments can be listed into the catalogue, and made accessible to the application. </w:t>
      </w:r>
    </w:p>
    <w:p w:rsidR="00632A45" w:rsidRPr="008A7E7B" w:rsidRDefault="009661D9" w:rsidP="00256C6C">
      <w:pPr>
        <w:spacing w:after="120" w:line="240" w:lineRule="auto"/>
        <w:jc w:val="both"/>
        <w:rPr>
          <w:rFonts w:ascii="Arial" w:hAnsi="Arial" w:cs="Arial"/>
        </w:rPr>
      </w:pPr>
      <w:r w:rsidRPr="008A7E7B">
        <w:rPr>
          <w:rFonts w:ascii="Arial" w:hAnsi="Arial" w:cs="Arial"/>
        </w:rPr>
        <w:t xml:space="preserve">It is expected that this initial effort will make available high-quality and validated existing bioenergy resource assessments performed using different methodologies at different scales, as well as base data layers (e.g. </w:t>
      </w:r>
      <w:proofErr w:type="spellStart"/>
      <w:r w:rsidRPr="008A7E7B">
        <w:rPr>
          <w:rFonts w:ascii="Arial" w:hAnsi="Arial" w:cs="Arial"/>
        </w:rPr>
        <w:t>landcover</w:t>
      </w:r>
      <w:proofErr w:type="spellEnd"/>
      <w:r w:rsidRPr="008A7E7B">
        <w:rPr>
          <w:rFonts w:ascii="Arial" w:hAnsi="Arial" w:cs="Arial"/>
        </w:rPr>
        <w:t xml:space="preserve">, land use, type of soil, forest resources). </w:t>
      </w:r>
      <w:r w:rsidR="000A7845" w:rsidRPr="008A7E7B">
        <w:rPr>
          <w:rFonts w:ascii="Arial" w:hAnsi="Arial" w:cs="Arial"/>
        </w:rPr>
        <w:t>In this process of data collection, it is expected that significant data gaps will be found on various territories. Solutions for filling these data gaps would be discussed</w:t>
      </w:r>
      <w:r w:rsidR="00632A45" w:rsidRPr="008A7E7B">
        <w:rPr>
          <w:rFonts w:ascii="Arial" w:hAnsi="Arial" w:cs="Arial"/>
        </w:rPr>
        <w:t>, solutions might be found through other partnerships of the Atlas, such as the Global Earth Observation (GEO) initiative</w:t>
      </w:r>
      <w:r w:rsidR="000A7845" w:rsidRPr="008A7E7B">
        <w:rPr>
          <w:rFonts w:ascii="Arial" w:hAnsi="Arial" w:cs="Arial"/>
        </w:rPr>
        <w:t>.</w:t>
      </w:r>
    </w:p>
    <w:p w:rsidR="00A31041" w:rsidRPr="008A7E7B" w:rsidRDefault="00CE2B69" w:rsidP="00256C6C">
      <w:pPr>
        <w:spacing w:after="120" w:line="240" w:lineRule="auto"/>
        <w:jc w:val="both"/>
        <w:rPr>
          <w:rFonts w:ascii="Arial" w:hAnsi="Arial" w:cs="Arial"/>
        </w:rPr>
      </w:pPr>
      <w:r w:rsidRPr="008A7E7B">
        <w:rPr>
          <w:rFonts w:ascii="Arial" w:hAnsi="Arial" w:cs="Arial"/>
        </w:rPr>
        <w:t xml:space="preserve">A difficult point will be to document the uncertainty of the different datasets made available to the Atlas. The </w:t>
      </w:r>
      <w:proofErr w:type="spellStart"/>
      <w:r w:rsidRPr="008A7E7B">
        <w:rPr>
          <w:rFonts w:ascii="Arial" w:hAnsi="Arial" w:cs="Arial"/>
        </w:rPr>
        <w:t>reflexion</w:t>
      </w:r>
      <w:proofErr w:type="spellEnd"/>
      <w:r w:rsidRPr="008A7E7B">
        <w:rPr>
          <w:rFonts w:ascii="Arial" w:hAnsi="Arial" w:cs="Arial"/>
        </w:rPr>
        <w:t xml:space="preserve"> is starting within the Solar and Wind group to define a set of basic </w:t>
      </w:r>
      <w:r w:rsidRPr="008A7E7B">
        <w:rPr>
          <w:rFonts w:ascii="Arial" w:hAnsi="Arial" w:cs="Arial"/>
        </w:rPr>
        <w:lastRenderedPageBreak/>
        <w:t>assessment criterion giving an indica</w:t>
      </w:r>
      <w:r w:rsidR="00A31041" w:rsidRPr="008A7E7B">
        <w:rPr>
          <w:rFonts w:ascii="Arial" w:hAnsi="Arial" w:cs="Arial"/>
        </w:rPr>
        <w:t xml:space="preserve">tion on the data quality, and a similar </w:t>
      </w:r>
      <w:proofErr w:type="spellStart"/>
      <w:r w:rsidR="00A31041" w:rsidRPr="008A7E7B">
        <w:rPr>
          <w:rFonts w:ascii="Arial" w:hAnsi="Arial" w:cs="Arial"/>
        </w:rPr>
        <w:t>reflexion</w:t>
      </w:r>
      <w:proofErr w:type="spellEnd"/>
      <w:r w:rsidR="00A31041" w:rsidRPr="008A7E7B">
        <w:rPr>
          <w:rFonts w:ascii="Arial" w:hAnsi="Arial" w:cs="Arial"/>
        </w:rPr>
        <w:t xml:space="preserve"> will be needed within the Activity Group.</w:t>
      </w:r>
    </w:p>
    <w:p w:rsidR="00CE2B69" w:rsidRPr="008A7E7B" w:rsidRDefault="00A31041" w:rsidP="00256C6C">
      <w:pPr>
        <w:spacing w:after="120" w:line="240" w:lineRule="auto"/>
        <w:jc w:val="both"/>
        <w:rPr>
          <w:rFonts w:ascii="Arial" w:hAnsi="Arial" w:cs="Arial"/>
        </w:rPr>
      </w:pPr>
      <w:r w:rsidRPr="008A7E7B">
        <w:rPr>
          <w:rFonts w:ascii="Arial" w:hAnsi="Arial" w:cs="Arial"/>
        </w:rPr>
        <w:t xml:space="preserve"> </w:t>
      </w:r>
    </w:p>
    <w:p w:rsidR="00632A45" w:rsidRPr="008A7E7B" w:rsidRDefault="00632A45" w:rsidP="00256C6C">
      <w:pPr>
        <w:spacing w:after="120" w:line="240" w:lineRule="auto"/>
        <w:jc w:val="both"/>
        <w:rPr>
          <w:rFonts w:ascii="Arial" w:hAnsi="Arial" w:cs="Arial"/>
          <w:b/>
          <w:u w:val="single"/>
        </w:rPr>
      </w:pPr>
      <w:r w:rsidRPr="008A7E7B">
        <w:rPr>
          <w:rFonts w:ascii="Arial" w:hAnsi="Arial" w:cs="Arial"/>
          <w:b/>
          <w:u w:val="single"/>
        </w:rPr>
        <w:t>Data analysis</w:t>
      </w:r>
    </w:p>
    <w:p w:rsidR="00013CCB" w:rsidRPr="008A7E7B" w:rsidRDefault="000A7845" w:rsidP="00256C6C">
      <w:pPr>
        <w:spacing w:after="120" w:line="240" w:lineRule="auto"/>
        <w:jc w:val="both"/>
        <w:rPr>
          <w:rFonts w:ascii="Arial" w:hAnsi="Arial" w:cs="Arial"/>
        </w:rPr>
      </w:pPr>
      <w:r w:rsidRPr="008A7E7B">
        <w:rPr>
          <w:rFonts w:ascii="Arial" w:hAnsi="Arial" w:cs="Arial"/>
        </w:rPr>
        <w:t xml:space="preserve">The Atlas architecture </w:t>
      </w:r>
      <w:r w:rsidR="007F2161" w:rsidRPr="008A7E7B">
        <w:rPr>
          <w:rFonts w:ascii="Arial" w:hAnsi="Arial" w:cs="Arial"/>
        </w:rPr>
        <w:t xml:space="preserve">could </w:t>
      </w:r>
      <w:r w:rsidRPr="008A7E7B">
        <w:rPr>
          <w:rFonts w:ascii="Arial" w:hAnsi="Arial" w:cs="Arial"/>
        </w:rPr>
        <w:t>enable to integrate existing analysis tools</w:t>
      </w:r>
      <w:r w:rsidR="007F2161" w:rsidRPr="008A7E7B">
        <w:rPr>
          <w:rFonts w:ascii="Arial" w:hAnsi="Arial" w:cs="Arial"/>
        </w:rPr>
        <w:t xml:space="preserve">. For example, </w:t>
      </w:r>
      <w:r w:rsidR="00B921D2" w:rsidRPr="008A7E7B">
        <w:rPr>
          <w:rFonts w:ascii="Arial" w:hAnsi="Arial" w:cs="Arial"/>
        </w:rPr>
        <w:t xml:space="preserve">the </w:t>
      </w:r>
      <w:r w:rsidR="007F2161" w:rsidRPr="008A7E7B">
        <w:rPr>
          <w:rFonts w:ascii="Arial" w:hAnsi="Arial" w:cs="Arial"/>
          <w:i/>
        </w:rPr>
        <w:t>renewable energy resource explorer</w:t>
      </w:r>
      <w:r w:rsidR="007F2161" w:rsidRPr="008A7E7B">
        <w:rPr>
          <w:rFonts w:ascii="Arial" w:hAnsi="Arial" w:cs="Arial"/>
        </w:rPr>
        <w:t xml:space="preserve"> developed under the UNEP/SWERA programme </w:t>
      </w:r>
      <w:r w:rsidR="00B921D2" w:rsidRPr="008A7E7B">
        <w:rPr>
          <w:rFonts w:ascii="Arial" w:hAnsi="Arial" w:cs="Arial"/>
        </w:rPr>
        <w:t xml:space="preserve">is </w:t>
      </w:r>
      <w:r w:rsidR="007F2161" w:rsidRPr="008A7E7B">
        <w:rPr>
          <w:rFonts w:ascii="Arial" w:hAnsi="Arial" w:cs="Arial"/>
        </w:rPr>
        <w:t>alread</w:t>
      </w:r>
      <w:r w:rsidR="00632A45" w:rsidRPr="008A7E7B">
        <w:rPr>
          <w:rFonts w:ascii="Arial" w:hAnsi="Arial" w:cs="Arial"/>
        </w:rPr>
        <w:t>y included in the Global Atlas.</w:t>
      </w:r>
    </w:p>
    <w:p w:rsidR="00256C6C" w:rsidRDefault="00A4218A" w:rsidP="00256C6C">
      <w:pPr>
        <w:spacing w:after="120" w:line="240" w:lineRule="auto"/>
        <w:jc w:val="both"/>
        <w:rPr>
          <w:rFonts w:ascii="Arial" w:hAnsi="Arial" w:cs="Arial"/>
        </w:rPr>
      </w:pPr>
      <w:r w:rsidRPr="008A7E7B">
        <w:rPr>
          <w:rFonts w:ascii="Arial" w:hAnsi="Arial" w:cs="Arial"/>
        </w:rPr>
        <w:t xml:space="preserve">For bioenergy, it is technically possible to make available some reference models enabling to estimate </w:t>
      </w:r>
      <w:r w:rsidR="000A7845" w:rsidRPr="008A7E7B">
        <w:rPr>
          <w:rFonts w:ascii="Arial" w:hAnsi="Arial" w:cs="Arial"/>
        </w:rPr>
        <w:t>the bioenergy potentials</w:t>
      </w:r>
      <w:r w:rsidR="00632A45" w:rsidRPr="008A7E7B">
        <w:rPr>
          <w:rFonts w:ascii="Arial" w:hAnsi="Arial" w:cs="Arial"/>
        </w:rPr>
        <w:t>, and to activate those models on selected data layers for user-defined geographic entities</w:t>
      </w:r>
      <w:r w:rsidR="000A7845" w:rsidRPr="008A7E7B">
        <w:rPr>
          <w:rFonts w:ascii="Arial" w:hAnsi="Arial" w:cs="Arial"/>
        </w:rPr>
        <w:t xml:space="preserve">. The number of tools that can be accessed through the Atlas is not limited technically, </w:t>
      </w:r>
      <w:r w:rsidRPr="008A7E7B">
        <w:rPr>
          <w:rFonts w:ascii="Arial" w:hAnsi="Arial" w:cs="Arial"/>
        </w:rPr>
        <w:t xml:space="preserve">nor is their level of complexity, </w:t>
      </w:r>
      <w:r w:rsidR="000A7845" w:rsidRPr="008A7E7B">
        <w:rPr>
          <w:rFonts w:ascii="Arial" w:hAnsi="Arial" w:cs="Arial"/>
        </w:rPr>
        <w:t xml:space="preserve">as the tools are hosted remotely </w:t>
      </w:r>
      <w:r w:rsidR="007F2161" w:rsidRPr="008A7E7B">
        <w:rPr>
          <w:rFonts w:ascii="Arial" w:hAnsi="Arial" w:cs="Arial"/>
        </w:rPr>
        <w:t xml:space="preserve">as web-processing services. It is as well entirely possible to adapt an existing tool to function as a web-processing service. However, this aspect </w:t>
      </w:r>
      <w:r w:rsidR="000A7845" w:rsidRPr="008A7E7B">
        <w:rPr>
          <w:rFonts w:ascii="Arial" w:hAnsi="Arial" w:cs="Arial"/>
        </w:rPr>
        <w:t xml:space="preserve">should be carefully </w:t>
      </w:r>
      <w:r w:rsidR="007F2161" w:rsidRPr="008A7E7B">
        <w:rPr>
          <w:rFonts w:ascii="Arial" w:hAnsi="Arial" w:cs="Arial"/>
        </w:rPr>
        <w:t xml:space="preserve">investigated. Any tool to be referenced by the Atlas should </w:t>
      </w:r>
      <w:r w:rsidR="00B921D2" w:rsidRPr="008A7E7B">
        <w:rPr>
          <w:rFonts w:ascii="Arial" w:hAnsi="Arial" w:cs="Arial"/>
        </w:rPr>
        <w:t xml:space="preserve">be able </w:t>
      </w:r>
      <w:r w:rsidR="00430943" w:rsidRPr="008A7E7B">
        <w:rPr>
          <w:rFonts w:ascii="Arial" w:hAnsi="Arial" w:cs="Arial"/>
        </w:rPr>
        <w:t>to provide quality information. It should be</w:t>
      </w:r>
      <w:r w:rsidR="000A7845" w:rsidRPr="008A7E7B">
        <w:rPr>
          <w:rFonts w:ascii="Arial" w:hAnsi="Arial" w:cs="Arial"/>
        </w:rPr>
        <w:t xml:space="preserve"> based on quality-controlled datasets, </w:t>
      </w:r>
      <w:r w:rsidR="00430943" w:rsidRPr="008A7E7B">
        <w:rPr>
          <w:rFonts w:ascii="Arial" w:hAnsi="Arial" w:cs="Arial"/>
        </w:rPr>
        <w:t xml:space="preserve">be relevant for the selected geographic entity, </w:t>
      </w:r>
      <w:r w:rsidR="000A7845" w:rsidRPr="008A7E7B">
        <w:rPr>
          <w:rFonts w:ascii="Arial" w:hAnsi="Arial" w:cs="Arial"/>
        </w:rPr>
        <w:t xml:space="preserve">and </w:t>
      </w:r>
      <w:r w:rsidR="00430943" w:rsidRPr="008A7E7B">
        <w:rPr>
          <w:rFonts w:ascii="Arial" w:hAnsi="Arial" w:cs="Arial"/>
        </w:rPr>
        <w:t xml:space="preserve">take </w:t>
      </w:r>
      <w:r w:rsidR="000A7845" w:rsidRPr="008A7E7B">
        <w:rPr>
          <w:rFonts w:ascii="Arial" w:hAnsi="Arial" w:cs="Arial"/>
        </w:rPr>
        <w:t>into account the technical limits of geospatial analysis for advising policy-makers.</w:t>
      </w:r>
      <w:r w:rsidR="007F2161" w:rsidRPr="008A7E7B">
        <w:rPr>
          <w:rFonts w:ascii="Arial" w:hAnsi="Arial" w:cs="Arial"/>
        </w:rPr>
        <w:t xml:space="preserve"> The Activity Group would help identifying and defining the possible tools which could be integrated in the Atlas.</w:t>
      </w:r>
    </w:p>
    <w:p w:rsidR="008A7E7B" w:rsidRPr="008A7E7B" w:rsidRDefault="008A7E7B" w:rsidP="00256C6C">
      <w:pPr>
        <w:spacing w:after="120" w:line="240" w:lineRule="auto"/>
        <w:jc w:val="both"/>
        <w:rPr>
          <w:rFonts w:ascii="Arial" w:hAnsi="Arial" w:cs="Arial"/>
        </w:rPr>
      </w:pPr>
    </w:p>
    <w:p w:rsidR="00632A45" w:rsidRPr="008A7E7B" w:rsidRDefault="00632A45" w:rsidP="00256C6C">
      <w:pPr>
        <w:spacing w:after="120" w:line="240" w:lineRule="auto"/>
        <w:jc w:val="both"/>
        <w:rPr>
          <w:rFonts w:ascii="Arial" w:hAnsi="Arial" w:cs="Arial"/>
          <w:b/>
          <w:u w:val="single"/>
        </w:rPr>
      </w:pPr>
      <w:r w:rsidRPr="008A7E7B">
        <w:rPr>
          <w:rFonts w:ascii="Arial" w:hAnsi="Arial" w:cs="Arial"/>
          <w:b/>
          <w:u w:val="single"/>
        </w:rPr>
        <w:t>Direct resource assessment</w:t>
      </w:r>
    </w:p>
    <w:p w:rsidR="007F2161" w:rsidRPr="008A7E7B" w:rsidRDefault="00632A45" w:rsidP="00CE2B69">
      <w:pPr>
        <w:spacing w:after="120" w:line="240" w:lineRule="auto"/>
        <w:jc w:val="both"/>
        <w:rPr>
          <w:rFonts w:ascii="Arial" w:hAnsi="Arial" w:cs="Arial"/>
        </w:rPr>
      </w:pPr>
      <w:r w:rsidRPr="008A7E7B">
        <w:rPr>
          <w:rFonts w:ascii="Arial" w:hAnsi="Arial" w:cs="Arial"/>
        </w:rPr>
        <w:t xml:space="preserve">The detailed assessment of the bioenergy potentials requires ground </w:t>
      </w:r>
      <w:r w:rsidR="00430943" w:rsidRPr="008A7E7B">
        <w:rPr>
          <w:rFonts w:ascii="Arial" w:hAnsi="Arial" w:cs="Arial"/>
        </w:rPr>
        <w:t xml:space="preserve">data collection and validation. The need to carry detailed assessment campaigns will emerge rapidly, for example from the </w:t>
      </w:r>
      <w:r w:rsidR="00A4218A" w:rsidRPr="008A7E7B">
        <w:rPr>
          <w:rFonts w:ascii="Arial" w:hAnsi="Arial" w:cs="Arial"/>
        </w:rPr>
        <w:t xml:space="preserve">IRENA initiatives </w:t>
      </w:r>
      <w:r w:rsidR="00430943" w:rsidRPr="008A7E7B">
        <w:rPr>
          <w:rFonts w:ascii="Arial" w:hAnsi="Arial" w:cs="Arial"/>
        </w:rPr>
        <w:t xml:space="preserve">on islands or </w:t>
      </w:r>
      <w:r w:rsidR="00CE2B69" w:rsidRPr="008A7E7B">
        <w:rPr>
          <w:rFonts w:ascii="Arial" w:hAnsi="Arial" w:cs="Arial"/>
        </w:rPr>
        <w:t>on the e</w:t>
      </w:r>
      <w:r w:rsidR="00430943" w:rsidRPr="008A7E7B">
        <w:rPr>
          <w:rFonts w:ascii="Arial" w:hAnsi="Arial" w:cs="Arial"/>
        </w:rPr>
        <w:t>ast African corridor.</w:t>
      </w:r>
      <w:r w:rsidR="00A4218A" w:rsidRPr="008A7E7B">
        <w:rPr>
          <w:rFonts w:ascii="Arial" w:hAnsi="Arial" w:cs="Arial"/>
        </w:rPr>
        <w:t xml:space="preserve"> </w:t>
      </w:r>
      <w:r w:rsidR="00430943" w:rsidRPr="008A7E7B">
        <w:rPr>
          <w:rFonts w:ascii="Arial" w:hAnsi="Arial" w:cs="Arial"/>
        </w:rPr>
        <w:t xml:space="preserve">In addition, </w:t>
      </w:r>
      <w:r w:rsidR="005651BD" w:rsidRPr="008A7E7B">
        <w:rPr>
          <w:rFonts w:ascii="Arial" w:hAnsi="Arial" w:cs="Arial"/>
        </w:rPr>
        <w:t xml:space="preserve">several IRENA members approached the organization </w:t>
      </w:r>
      <w:r w:rsidR="00CE2B69" w:rsidRPr="008A7E7B">
        <w:rPr>
          <w:rFonts w:ascii="Arial" w:hAnsi="Arial" w:cs="Arial"/>
        </w:rPr>
        <w:t xml:space="preserve">to </w:t>
      </w:r>
      <w:r w:rsidR="005651BD" w:rsidRPr="008A7E7B">
        <w:rPr>
          <w:rFonts w:ascii="Arial" w:hAnsi="Arial" w:cs="Arial"/>
        </w:rPr>
        <w:t xml:space="preserve">support </w:t>
      </w:r>
      <w:r w:rsidR="00CE2B69" w:rsidRPr="008A7E7B">
        <w:rPr>
          <w:rFonts w:ascii="Arial" w:hAnsi="Arial" w:cs="Arial"/>
        </w:rPr>
        <w:t xml:space="preserve">the </w:t>
      </w:r>
      <w:r w:rsidR="005651BD" w:rsidRPr="008A7E7B">
        <w:rPr>
          <w:rFonts w:ascii="Arial" w:hAnsi="Arial" w:cs="Arial"/>
        </w:rPr>
        <w:t>map</w:t>
      </w:r>
      <w:r w:rsidR="00CE2B69" w:rsidRPr="008A7E7B">
        <w:rPr>
          <w:rFonts w:ascii="Arial" w:hAnsi="Arial" w:cs="Arial"/>
        </w:rPr>
        <w:t>ping</w:t>
      </w:r>
      <w:r w:rsidR="005651BD" w:rsidRPr="008A7E7B">
        <w:rPr>
          <w:rFonts w:ascii="Arial" w:hAnsi="Arial" w:cs="Arial"/>
        </w:rPr>
        <w:t xml:space="preserve"> </w:t>
      </w:r>
      <w:r w:rsidR="00CE2B69" w:rsidRPr="008A7E7B">
        <w:rPr>
          <w:rFonts w:ascii="Arial" w:hAnsi="Arial" w:cs="Arial"/>
        </w:rPr>
        <w:t xml:space="preserve">of </w:t>
      </w:r>
      <w:r w:rsidR="005651BD" w:rsidRPr="008A7E7B">
        <w:rPr>
          <w:rFonts w:ascii="Arial" w:hAnsi="Arial" w:cs="Arial"/>
        </w:rPr>
        <w:t>their renewable resources</w:t>
      </w:r>
      <w:r w:rsidR="00A4218A" w:rsidRPr="008A7E7B">
        <w:rPr>
          <w:rFonts w:ascii="Arial" w:hAnsi="Arial" w:cs="Arial"/>
        </w:rPr>
        <w:t xml:space="preserve">. </w:t>
      </w:r>
      <w:r w:rsidR="00430943" w:rsidRPr="008A7E7B">
        <w:rPr>
          <w:rFonts w:ascii="Arial" w:hAnsi="Arial" w:cs="Arial"/>
        </w:rPr>
        <w:t xml:space="preserve">Several questions emerge in this regard: </w:t>
      </w:r>
      <w:r w:rsidR="00CE2B69" w:rsidRPr="008A7E7B">
        <w:rPr>
          <w:rFonts w:ascii="Arial" w:hAnsi="Arial" w:cs="Arial"/>
        </w:rPr>
        <w:t>a</w:t>
      </w:r>
      <w:r w:rsidR="00430943" w:rsidRPr="008A7E7B">
        <w:rPr>
          <w:rFonts w:ascii="Arial" w:hAnsi="Arial" w:cs="Arial"/>
        </w:rPr>
        <w:t xml:space="preserve">re there methodologies that can be recommended to carry those assessments, and on which ground? Are there </w:t>
      </w:r>
      <w:r w:rsidR="00CE2B69" w:rsidRPr="008A7E7B">
        <w:rPr>
          <w:rFonts w:ascii="Arial" w:hAnsi="Arial" w:cs="Arial"/>
        </w:rPr>
        <w:t xml:space="preserve">adequate </w:t>
      </w:r>
      <w:r w:rsidR="00430943" w:rsidRPr="008A7E7B">
        <w:rPr>
          <w:rFonts w:ascii="Arial" w:hAnsi="Arial" w:cs="Arial"/>
        </w:rPr>
        <w:t xml:space="preserve">approaches </w:t>
      </w:r>
      <w:r w:rsidR="00CE2B69" w:rsidRPr="008A7E7B">
        <w:rPr>
          <w:rFonts w:ascii="Arial" w:hAnsi="Arial" w:cs="Arial"/>
        </w:rPr>
        <w:t xml:space="preserve">for each </w:t>
      </w:r>
      <w:r w:rsidR="00430943" w:rsidRPr="008A7E7B">
        <w:rPr>
          <w:rFonts w:ascii="Arial" w:hAnsi="Arial" w:cs="Arial"/>
        </w:rPr>
        <w:t>geographic exten</w:t>
      </w:r>
      <w:r w:rsidR="00B921D2" w:rsidRPr="008A7E7B">
        <w:rPr>
          <w:rFonts w:ascii="Arial" w:hAnsi="Arial" w:cs="Arial"/>
        </w:rPr>
        <w:t>t</w:t>
      </w:r>
      <w:r w:rsidR="00430943" w:rsidRPr="008A7E7B">
        <w:rPr>
          <w:rFonts w:ascii="Arial" w:hAnsi="Arial" w:cs="Arial"/>
        </w:rPr>
        <w:t xml:space="preserve"> (small islands, </w:t>
      </w:r>
      <w:r w:rsidR="00CE2B69" w:rsidRPr="008A7E7B">
        <w:rPr>
          <w:rFonts w:ascii="Arial" w:hAnsi="Arial" w:cs="Arial"/>
        </w:rPr>
        <w:t xml:space="preserve">regions, countries, group of countries)? </w:t>
      </w:r>
      <w:r w:rsidR="00430943" w:rsidRPr="008A7E7B">
        <w:rPr>
          <w:rFonts w:ascii="Arial" w:hAnsi="Arial" w:cs="Arial"/>
        </w:rPr>
        <w:t>Is there a possibility to assess the uncertainty of those methodologies? Is there a need to define a consensual methodology to assess the bioenergy potentials, and is it a</w:t>
      </w:r>
      <w:r w:rsidR="00CE2B69" w:rsidRPr="008A7E7B">
        <w:rPr>
          <w:rFonts w:ascii="Arial" w:hAnsi="Arial" w:cs="Arial"/>
        </w:rPr>
        <w:t>n achievable goal in the medium-</w:t>
      </w:r>
      <w:r w:rsidR="00430943" w:rsidRPr="008A7E7B">
        <w:rPr>
          <w:rFonts w:ascii="Arial" w:hAnsi="Arial" w:cs="Arial"/>
        </w:rPr>
        <w:t xml:space="preserve">term? UNEP has taken the lead </w:t>
      </w:r>
      <w:r w:rsidR="00CE2B69" w:rsidRPr="008A7E7B">
        <w:rPr>
          <w:rFonts w:ascii="Arial" w:hAnsi="Arial" w:cs="Arial"/>
        </w:rPr>
        <w:t>on the latter</w:t>
      </w:r>
      <w:r w:rsidR="00430943" w:rsidRPr="008A7E7B">
        <w:rPr>
          <w:rFonts w:ascii="Arial" w:hAnsi="Arial" w:cs="Arial"/>
        </w:rPr>
        <w:t>, and this experience would be extremely valuable to the group discussions.</w:t>
      </w:r>
    </w:p>
    <w:p w:rsidR="00CE2B69" w:rsidRPr="008A7E7B" w:rsidRDefault="00CE2B69" w:rsidP="00D314C5">
      <w:pPr>
        <w:spacing w:after="120" w:line="240" w:lineRule="auto"/>
        <w:jc w:val="both"/>
        <w:rPr>
          <w:rFonts w:ascii="Arial" w:hAnsi="Arial" w:cs="Arial"/>
        </w:rPr>
      </w:pPr>
      <w:r w:rsidRPr="008A7E7B">
        <w:rPr>
          <w:rFonts w:ascii="Arial" w:hAnsi="Arial" w:cs="Arial"/>
        </w:rPr>
        <w:t>The budget for performing detailed assessments would have to be leveraged from contributions additional to the annual budget of IRENA.</w:t>
      </w:r>
    </w:p>
    <w:p w:rsidR="00D71489" w:rsidRPr="008A7E7B" w:rsidRDefault="00D71489" w:rsidP="00D314C5">
      <w:pPr>
        <w:spacing w:after="120" w:line="240" w:lineRule="auto"/>
        <w:jc w:val="both"/>
        <w:rPr>
          <w:rFonts w:ascii="Arial" w:hAnsi="Arial" w:cs="Arial"/>
        </w:rPr>
      </w:pPr>
      <w:r w:rsidRPr="008A7E7B">
        <w:rPr>
          <w:rFonts w:ascii="Arial" w:hAnsi="Arial" w:cs="Arial"/>
        </w:rPr>
        <w:t xml:space="preserve">The Activity Group would contribute to overall objectives of the Working Group on Capacity Building for Sustainable Bioenergy, by providing a platform primarily for </w:t>
      </w:r>
      <w:r w:rsidRPr="008A7E7B">
        <w:rPr>
          <w:rFonts w:ascii="Arial" w:hAnsi="Arial" w:cs="Arial"/>
          <w:i/>
        </w:rPr>
        <w:t>identifying and disseminating information about existing tools and resources available from both the public and private sources and facilitating appropriate linkages between them.</w:t>
      </w:r>
      <w:r w:rsidRPr="008A7E7B">
        <w:rPr>
          <w:rFonts w:ascii="Arial" w:hAnsi="Arial" w:cs="Arial"/>
        </w:rPr>
        <w:t xml:space="preserve"> </w:t>
      </w:r>
    </w:p>
    <w:p w:rsidR="00D71489" w:rsidRDefault="00D71489" w:rsidP="00D314C5">
      <w:pPr>
        <w:spacing w:after="120" w:line="240" w:lineRule="auto"/>
        <w:jc w:val="both"/>
        <w:rPr>
          <w:rFonts w:ascii="Arial" w:hAnsi="Arial" w:cs="Arial"/>
        </w:rPr>
      </w:pPr>
      <w:r w:rsidRPr="008A7E7B">
        <w:rPr>
          <w:rFonts w:ascii="Arial" w:hAnsi="Arial" w:cs="Arial"/>
        </w:rPr>
        <w:t xml:space="preserve">The </w:t>
      </w:r>
      <w:r w:rsidR="00CE2B69" w:rsidRPr="008A7E7B">
        <w:rPr>
          <w:rFonts w:ascii="Arial" w:hAnsi="Arial" w:cs="Arial"/>
        </w:rPr>
        <w:t xml:space="preserve">Atlas is by essence a platform to share information. The </w:t>
      </w:r>
      <w:r w:rsidRPr="008A7E7B">
        <w:rPr>
          <w:rFonts w:ascii="Arial" w:hAnsi="Arial" w:cs="Arial"/>
        </w:rPr>
        <w:t xml:space="preserve">Activity Group would in addition identify opportunities for the Global Renewable Energy Atlas to share information, stimulate discussion, and identify opportunities for cooperation on sustainable bioenergy development and deployment. </w:t>
      </w:r>
    </w:p>
    <w:p w:rsidR="008A7E7B" w:rsidRDefault="008A7E7B" w:rsidP="00D314C5">
      <w:pPr>
        <w:spacing w:after="120" w:line="240" w:lineRule="auto"/>
        <w:jc w:val="both"/>
        <w:rPr>
          <w:rFonts w:ascii="Arial" w:hAnsi="Arial" w:cs="Arial"/>
        </w:rPr>
      </w:pPr>
    </w:p>
    <w:p w:rsidR="008A7E7B" w:rsidRPr="008A7E7B" w:rsidRDefault="008A7E7B" w:rsidP="00D314C5">
      <w:pPr>
        <w:spacing w:after="120" w:line="240" w:lineRule="auto"/>
        <w:jc w:val="both"/>
        <w:rPr>
          <w:rFonts w:ascii="Arial" w:hAnsi="Arial" w:cs="Arial"/>
        </w:rPr>
      </w:pPr>
    </w:p>
    <w:p w:rsidR="00D71489" w:rsidRPr="008A7E7B" w:rsidRDefault="00D71489" w:rsidP="00D314C5">
      <w:pPr>
        <w:spacing w:after="120" w:line="240" w:lineRule="auto"/>
        <w:jc w:val="both"/>
        <w:rPr>
          <w:rFonts w:ascii="Arial" w:hAnsi="Arial" w:cs="Arial"/>
          <w:b/>
          <w:u w:val="single"/>
        </w:rPr>
      </w:pPr>
      <w:r w:rsidRPr="008A7E7B">
        <w:rPr>
          <w:rFonts w:ascii="Arial" w:hAnsi="Arial" w:cs="Arial"/>
          <w:b/>
          <w:u w:val="single"/>
        </w:rPr>
        <w:lastRenderedPageBreak/>
        <w:t>Governance</w:t>
      </w:r>
    </w:p>
    <w:p w:rsidR="00D71489" w:rsidRPr="008A7E7B" w:rsidRDefault="00D71489" w:rsidP="00D314C5">
      <w:pPr>
        <w:spacing w:after="120" w:line="240" w:lineRule="auto"/>
        <w:jc w:val="both"/>
        <w:rPr>
          <w:rFonts w:ascii="Arial" w:hAnsi="Arial" w:cs="Arial"/>
        </w:rPr>
      </w:pPr>
      <w:r w:rsidRPr="008A7E7B">
        <w:rPr>
          <w:rFonts w:ascii="Arial" w:hAnsi="Arial" w:cs="Arial"/>
        </w:rPr>
        <w:t xml:space="preserve">The Activity Group will report to the GBEP Working Group on </w:t>
      </w:r>
      <w:smartTag w:uri="urn:schemas-microsoft-com:office:smarttags" w:element="place">
        <w:smartTag w:uri="urn:schemas-microsoft-com:office:smarttags" w:element="PlaceName">
          <w:r w:rsidRPr="008A7E7B">
            <w:rPr>
              <w:rFonts w:ascii="Arial" w:hAnsi="Arial" w:cs="Arial"/>
            </w:rPr>
            <w:t>Capacity</w:t>
          </w:r>
        </w:smartTag>
        <w:r w:rsidRPr="008A7E7B">
          <w:rPr>
            <w:rFonts w:ascii="Arial" w:hAnsi="Arial" w:cs="Arial"/>
          </w:rPr>
          <w:t xml:space="preserve"> </w:t>
        </w:r>
        <w:smartTag w:uri="urn:schemas-microsoft-com:office:smarttags" w:element="PlaceType">
          <w:r w:rsidRPr="008A7E7B">
            <w:rPr>
              <w:rFonts w:ascii="Arial" w:hAnsi="Arial" w:cs="Arial"/>
            </w:rPr>
            <w:t>Building</w:t>
          </w:r>
        </w:smartTag>
      </w:smartTag>
      <w:r w:rsidRPr="008A7E7B">
        <w:rPr>
          <w:rFonts w:ascii="Arial" w:hAnsi="Arial" w:cs="Arial"/>
        </w:rPr>
        <w:t xml:space="preserve"> for Sustainable Bioenergy (WGCB). It would also act as the bioenergy technical group of the Global Renewable Energy Atlas. The activities and the outcomes of the Activity Group would also be reported to the Steering Committee of the Global Renewable Energy Atlas by its leader, IRENA.</w:t>
      </w:r>
    </w:p>
    <w:p w:rsidR="00D71489" w:rsidRPr="008A7E7B" w:rsidRDefault="00D71489" w:rsidP="00D314C5">
      <w:pPr>
        <w:spacing w:after="120" w:line="240" w:lineRule="auto"/>
        <w:jc w:val="both"/>
        <w:rPr>
          <w:rFonts w:ascii="Arial" w:hAnsi="Arial" w:cs="Arial"/>
        </w:rPr>
      </w:pPr>
      <w:r w:rsidRPr="008A7E7B">
        <w:rPr>
          <w:rFonts w:ascii="Arial" w:hAnsi="Arial" w:cs="Arial"/>
        </w:rPr>
        <w:t>GBEP and the Steering Committee of the Global Renewable Energy Atlas have an overlapping membership, which would enable efficient interactions between both initiatives. In addition, the GBEP Secretariat would be invited as observer to the Steering Committee of the Global Renewable Energy Atlas.</w:t>
      </w:r>
    </w:p>
    <w:p w:rsidR="00D71489" w:rsidRPr="008A7E7B" w:rsidRDefault="00D71489" w:rsidP="00D314C5">
      <w:pPr>
        <w:widowControl w:val="0"/>
        <w:tabs>
          <w:tab w:val="left" w:pos="360"/>
        </w:tabs>
        <w:adjustRightInd w:val="0"/>
        <w:spacing w:after="120" w:line="240" w:lineRule="auto"/>
        <w:jc w:val="both"/>
        <w:textAlignment w:val="baseline"/>
        <w:rPr>
          <w:rFonts w:ascii="Arial" w:hAnsi="Arial" w:cs="Arial"/>
        </w:rPr>
      </w:pPr>
      <w:r w:rsidRPr="008A7E7B">
        <w:rPr>
          <w:rFonts w:ascii="Arial" w:hAnsi="Arial" w:cs="Arial"/>
        </w:rPr>
        <w:t xml:space="preserve">The GBEP Steering Committee and the Steering Committee of the Global Renewable Energy Atlas are the main governance bodies of the initiative. The latter is comprised of countries and organizations committed to contributing to the process in terms of providing data and / or supplying expertise. The Steering Committee meets on a regular basis, during the main IRENA events. The Steering Committee reviews the development of the initiative, and advises on its implementation. In addition, the Steering Committee brings added-value to the process, and adds content to the initiative by monitoring and/or enabling the coordination of the national initiatives, enriched by regular exchanges of information. </w:t>
      </w:r>
    </w:p>
    <w:p w:rsidR="00D71489" w:rsidRPr="008A7E7B" w:rsidRDefault="00D71489" w:rsidP="00D314C5">
      <w:pPr>
        <w:widowControl w:val="0"/>
        <w:tabs>
          <w:tab w:val="left" w:pos="360"/>
        </w:tabs>
        <w:adjustRightInd w:val="0"/>
        <w:spacing w:after="120" w:line="240" w:lineRule="auto"/>
        <w:jc w:val="both"/>
        <w:textAlignment w:val="baseline"/>
        <w:rPr>
          <w:rFonts w:ascii="Arial" w:hAnsi="Arial" w:cs="Arial"/>
        </w:rPr>
      </w:pPr>
    </w:p>
    <w:p w:rsidR="00D71489" w:rsidRPr="008A7E7B" w:rsidRDefault="00D71489" w:rsidP="00D314C5">
      <w:pPr>
        <w:spacing w:after="120" w:line="240" w:lineRule="auto"/>
        <w:jc w:val="both"/>
        <w:rPr>
          <w:rFonts w:ascii="Arial" w:hAnsi="Arial" w:cs="Arial"/>
          <w:b/>
          <w:u w:val="single"/>
        </w:rPr>
      </w:pPr>
      <w:r w:rsidRPr="008A7E7B">
        <w:rPr>
          <w:rFonts w:ascii="Arial" w:hAnsi="Arial" w:cs="Arial"/>
          <w:b/>
          <w:u w:val="single"/>
        </w:rPr>
        <w:t>Implementation Strategy - 2013</w:t>
      </w:r>
    </w:p>
    <w:p w:rsidR="00D71489" w:rsidRPr="008A7E7B" w:rsidRDefault="00D71489" w:rsidP="00D314C5">
      <w:pPr>
        <w:spacing w:after="120" w:line="240" w:lineRule="auto"/>
        <w:rPr>
          <w:rFonts w:ascii="Arial" w:hAnsi="Arial" w:cs="Arial"/>
        </w:rPr>
      </w:pPr>
      <w:r w:rsidRPr="008A7E7B">
        <w:rPr>
          <w:rFonts w:ascii="Arial" w:hAnsi="Arial" w:cs="Arial"/>
        </w:rPr>
        <w:t xml:space="preserve">The Activity Group will be a </w:t>
      </w:r>
      <w:proofErr w:type="spellStart"/>
      <w:r w:rsidRPr="008A7E7B">
        <w:rPr>
          <w:rFonts w:ascii="Arial" w:hAnsi="Arial" w:cs="Arial"/>
        </w:rPr>
        <w:t>pluri</w:t>
      </w:r>
      <w:proofErr w:type="spellEnd"/>
      <w:r w:rsidRPr="008A7E7B">
        <w:rPr>
          <w:rFonts w:ascii="Arial" w:hAnsi="Arial" w:cs="Arial"/>
        </w:rPr>
        <w:t>-annual activity. In 2013, the Activity would be organized as follows:</w:t>
      </w:r>
    </w:p>
    <w:p w:rsidR="00D71489" w:rsidRPr="008A7E7B" w:rsidRDefault="00D71489" w:rsidP="00D314C5">
      <w:pPr>
        <w:pStyle w:val="ListParagraph"/>
        <w:numPr>
          <w:ilvl w:val="0"/>
          <w:numId w:val="1"/>
        </w:numPr>
        <w:spacing w:after="120" w:line="240" w:lineRule="auto"/>
        <w:rPr>
          <w:rFonts w:ascii="Arial" w:hAnsi="Arial" w:cs="Arial"/>
        </w:rPr>
      </w:pPr>
      <w:r w:rsidRPr="008A7E7B">
        <w:rPr>
          <w:rFonts w:ascii="Arial" w:hAnsi="Arial" w:cs="Arial"/>
        </w:rPr>
        <w:t xml:space="preserve">Presentation of the proposal for the Activity Group, </w:t>
      </w:r>
      <w:r w:rsidR="002E099A" w:rsidRPr="008A7E7B">
        <w:rPr>
          <w:rFonts w:ascii="Arial" w:hAnsi="Arial" w:cs="Arial"/>
        </w:rPr>
        <w:t>January</w:t>
      </w:r>
      <w:r w:rsidR="00404906" w:rsidRPr="008A7E7B">
        <w:rPr>
          <w:rFonts w:ascii="Arial" w:hAnsi="Arial" w:cs="Arial"/>
        </w:rPr>
        <w:t xml:space="preserve"> 2013</w:t>
      </w:r>
      <w:r w:rsidRPr="008A7E7B">
        <w:rPr>
          <w:rFonts w:ascii="Arial" w:hAnsi="Arial" w:cs="Arial"/>
        </w:rPr>
        <w:t>.</w:t>
      </w:r>
    </w:p>
    <w:p w:rsidR="00D71489" w:rsidRPr="008A7E7B" w:rsidRDefault="00D71489" w:rsidP="00D314C5">
      <w:pPr>
        <w:pStyle w:val="ListParagraph"/>
        <w:numPr>
          <w:ilvl w:val="0"/>
          <w:numId w:val="1"/>
        </w:numPr>
        <w:spacing w:after="120" w:line="240" w:lineRule="auto"/>
        <w:rPr>
          <w:rFonts w:ascii="Arial" w:hAnsi="Arial" w:cs="Arial"/>
        </w:rPr>
      </w:pPr>
      <w:r w:rsidRPr="008A7E7B">
        <w:rPr>
          <w:rFonts w:ascii="Arial" w:hAnsi="Arial" w:cs="Arial"/>
        </w:rPr>
        <w:t xml:space="preserve">Announcement of the Activity Group, </w:t>
      </w:r>
      <w:r w:rsidR="00EC0A41" w:rsidRPr="008A7E7B">
        <w:rPr>
          <w:rFonts w:ascii="Arial" w:hAnsi="Arial" w:cs="Arial"/>
        </w:rPr>
        <w:t>May</w:t>
      </w:r>
      <w:r w:rsidRPr="008A7E7B">
        <w:rPr>
          <w:rFonts w:ascii="Arial" w:hAnsi="Arial" w:cs="Arial"/>
        </w:rPr>
        <w:t xml:space="preserve"> 2013.</w:t>
      </w:r>
    </w:p>
    <w:p w:rsidR="00D71489" w:rsidRPr="008A7E7B" w:rsidRDefault="00D71489" w:rsidP="00D314C5">
      <w:pPr>
        <w:pStyle w:val="ListParagraph"/>
        <w:numPr>
          <w:ilvl w:val="0"/>
          <w:numId w:val="1"/>
        </w:numPr>
        <w:spacing w:after="120" w:line="240" w:lineRule="auto"/>
        <w:rPr>
          <w:rFonts w:ascii="Arial" w:hAnsi="Arial" w:cs="Arial"/>
        </w:rPr>
      </w:pPr>
      <w:r w:rsidRPr="008A7E7B">
        <w:rPr>
          <w:rFonts w:ascii="Arial" w:hAnsi="Arial" w:cs="Arial"/>
        </w:rPr>
        <w:t>Mobilization of GBEP Partners and Observers and constitution of the Activity Group, Q1 – Q2 2013.</w:t>
      </w:r>
    </w:p>
    <w:p w:rsidR="00D71489" w:rsidRPr="008A7E7B" w:rsidRDefault="00D71489" w:rsidP="00D314C5">
      <w:pPr>
        <w:pStyle w:val="ListParagraph"/>
        <w:numPr>
          <w:ilvl w:val="0"/>
          <w:numId w:val="1"/>
        </w:numPr>
        <w:spacing w:after="120" w:line="240" w:lineRule="auto"/>
        <w:rPr>
          <w:rFonts w:ascii="Arial" w:hAnsi="Arial" w:cs="Arial"/>
        </w:rPr>
      </w:pPr>
      <w:r w:rsidRPr="008A7E7B">
        <w:rPr>
          <w:rFonts w:ascii="Arial" w:hAnsi="Arial" w:cs="Arial"/>
        </w:rPr>
        <w:t>First working session of the Activity Group, definition of the work programme, Q2 2013</w:t>
      </w:r>
    </w:p>
    <w:p w:rsidR="00D71489" w:rsidRPr="008A7E7B" w:rsidRDefault="00D71489" w:rsidP="00D314C5">
      <w:pPr>
        <w:pStyle w:val="ListParagraph"/>
        <w:numPr>
          <w:ilvl w:val="0"/>
          <w:numId w:val="1"/>
        </w:numPr>
        <w:spacing w:after="120" w:line="240" w:lineRule="auto"/>
        <w:rPr>
          <w:rFonts w:ascii="Arial" w:hAnsi="Arial" w:cs="Arial"/>
        </w:rPr>
      </w:pPr>
      <w:r w:rsidRPr="008A7E7B">
        <w:rPr>
          <w:rFonts w:ascii="Arial" w:hAnsi="Arial" w:cs="Arial"/>
        </w:rPr>
        <w:t>First work programme for the Activity Group, Q3 2013.</w:t>
      </w:r>
    </w:p>
    <w:p w:rsidR="00D71489" w:rsidRPr="008A7E7B" w:rsidRDefault="00D71489" w:rsidP="00D314C5">
      <w:pPr>
        <w:pStyle w:val="ListParagraph"/>
        <w:numPr>
          <w:ilvl w:val="0"/>
          <w:numId w:val="1"/>
        </w:numPr>
        <w:spacing w:after="120" w:line="240" w:lineRule="auto"/>
        <w:rPr>
          <w:rFonts w:ascii="Arial" w:hAnsi="Arial" w:cs="Arial"/>
        </w:rPr>
      </w:pPr>
      <w:r w:rsidRPr="008A7E7B">
        <w:rPr>
          <w:rFonts w:ascii="Arial" w:hAnsi="Arial" w:cs="Arial"/>
        </w:rPr>
        <w:t>Implementation phase starting, Q4 2013/ Q1 2014.</w:t>
      </w:r>
    </w:p>
    <w:p w:rsidR="00D71489" w:rsidRPr="008A7E7B" w:rsidRDefault="00D71489" w:rsidP="00D314C5">
      <w:pPr>
        <w:pStyle w:val="Heading1"/>
        <w:spacing w:before="0" w:after="0" w:line="240" w:lineRule="auto"/>
        <w:rPr>
          <w:rFonts w:ascii="Arial" w:hAnsi="Arial" w:cs="Arial"/>
          <w:color w:val="auto"/>
          <w:sz w:val="22"/>
          <w:szCs w:val="22"/>
        </w:rPr>
      </w:pPr>
    </w:p>
    <w:p w:rsidR="00D71489" w:rsidRPr="008A7E7B" w:rsidRDefault="00D71489" w:rsidP="00000E8D">
      <w:pPr>
        <w:pStyle w:val="Heading1"/>
        <w:spacing w:before="0" w:line="240" w:lineRule="auto"/>
        <w:rPr>
          <w:rFonts w:ascii="Arial" w:hAnsi="Arial" w:cs="Arial"/>
          <w:color w:val="auto"/>
          <w:sz w:val="22"/>
          <w:szCs w:val="22"/>
        </w:rPr>
      </w:pPr>
      <w:r w:rsidRPr="008A7E7B">
        <w:rPr>
          <w:rFonts w:ascii="Arial" w:hAnsi="Arial" w:cs="Arial"/>
          <w:color w:val="auto"/>
          <w:sz w:val="22"/>
          <w:szCs w:val="22"/>
        </w:rPr>
        <w:t>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8"/>
        <w:gridCol w:w="7488"/>
      </w:tblGrid>
      <w:tr w:rsidR="00D71489" w:rsidRPr="008A7E7B" w:rsidTr="00E22DA9">
        <w:trPr>
          <w:trHeight w:val="350"/>
        </w:trPr>
        <w:tc>
          <w:tcPr>
            <w:tcW w:w="2088" w:type="dxa"/>
          </w:tcPr>
          <w:p w:rsidR="00D71489" w:rsidRPr="008A7E7B" w:rsidRDefault="00D71489" w:rsidP="00E22DA9">
            <w:pPr>
              <w:spacing w:after="120" w:line="240" w:lineRule="auto"/>
              <w:rPr>
                <w:rFonts w:ascii="Arial" w:hAnsi="Arial" w:cs="Arial"/>
                <w:b/>
              </w:rPr>
            </w:pPr>
            <w:r w:rsidRPr="008A7E7B">
              <w:rPr>
                <w:rFonts w:ascii="Arial" w:hAnsi="Arial" w:cs="Arial"/>
                <w:b/>
              </w:rPr>
              <w:t>Leader</w:t>
            </w:r>
          </w:p>
        </w:tc>
        <w:tc>
          <w:tcPr>
            <w:tcW w:w="7488" w:type="dxa"/>
          </w:tcPr>
          <w:p w:rsidR="00D71489" w:rsidRPr="008A7E7B" w:rsidRDefault="00D71489" w:rsidP="00E22DA9">
            <w:pPr>
              <w:spacing w:after="120" w:line="240" w:lineRule="auto"/>
              <w:rPr>
                <w:rFonts w:ascii="Arial" w:hAnsi="Arial" w:cs="Arial"/>
                <w:b/>
              </w:rPr>
            </w:pPr>
            <w:r w:rsidRPr="008A7E7B">
              <w:rPr>
                <w:rFonts w:ascii="Arial" w:hAnsi="Arial" w:cs="Arial"/>
              </w:rPr>
              <w:t>IRENA</w:t>
            </w:r>
          </w:p>
        </w:tc>
      </w:tr>
      <w:tr w:rsidR="00D71489" w:rsidRPr="00E22DA9" w:rsidTr="00E22DA9">
        <w:trPr>
          <w:trHeight w:val="332"/>
        </w:trPr>
        <w:tc>
          <w:tcPr>
            <w:tcW w:w="2088" w:type="dxa"/>
          </w:tcPr>
          <w:p w:rsidR="00D71489" w:rsidRPr="008A7E7B" w:rsidRDefault="00D71489" w:rsidP="00E22DA9">
            <w:pPr>
              <w:spacing w:after="120" w:line="240" w:lineRule="auto"/>
              <w:rPr>
                <w:rFonts w:ascii="Arial" w:hAnsi="Arial" w:cs="Arial"/>
                <w:b/>
              </w:rPr>
            </w:pPr>
            <w:r w:rsidRPr="008A7E7B">
              <w:rPr>
                <w:rFonts w:ascii="Arial" w:hAnsi="Arial" w:cs="Arial"/>
                <w:b/>
              </w:rPr>
              <w:t xml:space="preserve">Proposed partners </w:t>
            </w:r>
          </w:p>
        </w:tc>
        <w:tc>
          <w:tcPr>
            <w:tcW w:w="7488" w:type="dxa"/>
          </w:tcPr>
          <w:p w:rsidR="006D3E43" w:rsidRPr="008A7E7B" w:rsidRDefault="00D71489" w:rsidP="006D3E43">
            <w:pPr>
              <w:spacing w:after="120" w:line="240" w:lineRule="auto"/>
              <w:jc w:val="both"/>
              <w:rPr>
                <w:rFonts w:ascii="Arial" w:hAnsi="Arial" w:cs="Arial"/>
              </w:rPr>
            </w:pPr>
            <w:r w:rsidRPr="008A7E7B">
              <w:rPr>
                <w:rFonts w:ascii="Arial" w:hAnsi="Arial" w:cs="Arial"/>
              </w:rPr>
              <w:t>GBEP Partners</w:t>
            </w:r>
            <w:bookmarkStart w:id="0" w:name="_GoBack"/>
            <w:bookmarkEnd w:id="0"/>
            <w:r w:rsidRPr="008A7E7B">
              <w:rPr>
                <w:rFonts w:ascii="Arial" w:hAnsi="Arial" w:cs="Arial"/>
              </w:rPr>
              <w:t xml:space="preserve"> and Observers,</w:t>
            </w:r>
            <w:r w:rsidRPr="008A7E7B">
              <w:rPr>
                <w:rFonts w:ascii="Arial" w:hAnsi="Arial" w:cs="Arial"/>
                <w:lang w:val="en-GB"/>
              </w:rPr>
              <w:t xml:space="preserve"> </w:t>
            </w:r>
            <w:r w:rsidR="006D3E43" w:rsidRPr="008A7E7B">
              <w:rPr>
                <w:rFonts w:ascii="Arial" w:hAnsi="Arial" w:cs="Arial"/>
                <w:lang w:val="en-GB"/>
              </w:rPr>
              <w:t>Brazil (</w:t>
            </w:r>
            <w:proofErr w:type="spellStart"/>
            <w:r w:rsidR="006D3E43" w:rsidRPr="008A7E7B">
              <w:rPr>
                <w:rFonts w:ascii="Arial" w:hAnsi="Arial" w:cs="Arial"/>
              </w:rPr>
              <w:t>Getúlio</w:t>
            </w:r>
            <w:proofErr w:type="spellEnd"/>
            <w:r w:rsidR="006D3E43" w:rsidRPr="008A7E7B">
              <w:rPr>
                <w:rFonts w:ascii="Arial" w:hAnsi="Arial" w:cs="Arial"/>
              </w:rPr>
              <w:t xml:space="preserve"> Vargas Foundation), </w:t>
            </w:r>
            <w:r w:rsidR="006D3E43" w:rsidRPr="008A7E7B">
              <w:rPr>
                <w:rFonts w:ascii="Arial" w:hAnsi="Arial" w:cs="Arial"/>
                <w:lang w:val="en-GB"/>
              </w:rPr>
              <w:t xml:space="preserve">Sweden (Chalmers University), the Netherlands (RIVM-IMAGE, Utrecht University, </w:t>
            </w:r>
            <w:hyperlink r:id="rId9" w:history="1">
              <w:r w:rsidR="006D3E43" w:rsidRPr="008A7E7B">
                <w:rPr>
                  <w:rStyle w:val="Hyperlink"/>
                  <w:rFonts w:ascii="Arial" w:hAnsi="Arial" w:cs="Arial"/>
                  <w:lang w:val="en-GB"/>
                </w:rPr>
                <w:t>www.b-i-o.nl</w:t>
              </w:r>
            </w:hyperlink>
            <w:r w:rsidR="006D3E43" w:rsidRPr="008A7E7B">
              <w:rPr>
                <w:rFonts w:ascii="Arial" w:hAnsi="Arial" w:cs="Arial"/>
                <w:lang w:val="en-GB"/>
              </w:rPr>
              <w:t xml:space="preserve">), </w:t>
            </w:r>
            <w:r w:rsidR="006D3E43" w:rsidRPr="008A7E7B">
              <w:rPr>
                <w:rFonts w:ascii="Arial" w:hAnsi="Arial" w:cs="Arial"/>
              </w:rPr>
              <w:t xml:space="preserve">the </w:t>
            </w:r>
            <w:r w:rsidR="006D3E43" w:rsidRPr="008A7E7B">
              <w:rPr>
                <w:rFonts w:ascii="Arial" w:hAnsi="Arial" w:cs="Arial"/>
                <w:lang w:val="en-GB"/>
              </w:rPr>
              <w:t xml:space="preserve">United States (DOE, USDA, NREL, USGS-IGBP), </w:t>
            </w:r>
            <w:r w:rsidR="006D3E43" w:rsidRPr="008A7E7B">
              <w:rPr>
                <w:rFonts w:ascii="Arial" w:hAnsi="Arial" w:cs="Arial"/>
              </w:rPr>
              <w:t>Vietnam.</w:t>
            </w:r>
          </w:p>
          <w:p w:rsidR="00D71489" w:rsidRPr="006D3E43" w:rsidRDefault="006D3E43" w:rsidP="006D3E43">
            <w:pPr>
              <w:spacing w:after="120" w:line="240" w:lineRule="auto"/>
              <w:jc w:val="both"/>
              <w:rPr>
                <w:rFonts w:ascii="Arial" w:hAnsi="Arial" w:cs="Arial"/>
                <w:lang w:val="en-GB"/>
              </w:rPr>
            </w:pPr>
            <w:r w:rsidRPr="008A7E7B">
              <w:rPr>
                <w:rFonts w:ascii="Arial" w:hAnsi="Arial" w:cs="Arial"/>
              </w:rPr>
              <w:t xml:space="preserve">Organizations: </w:t>
            </w:r>
            <w:r w:rsidRPr="008A7E7B">
              <w:rPr>
                <w:rFonts w:ascii="Arial" w:hAnsi="Arial" w:cs="Arial"/>
                <w:lang w:val="en-GB"/>
              </w:rPr>
              <w:t xml:space="preserve">EEA (CORINE), </w:t>
            </w:r>
            <w:r w:rsidR="00D71489" w:rsidRPr="008A7E7B">
              <w:rPr>
                <w:rFonts w:ascii="Arial" w:hAnsi="Arial" w:cs="Arial"/>
                <w:lang w:val="en-GB"/>
              </w:rPr>
              <w:t>FAO (FAOSTAT)</w:t>
            </w:r>
            <w:r w:rsidR="00D71489" w:rsidRPr="008A7E7B">
              <w:rPr>
                <w:rFonts w:ascii="Arial" w:hAnsi="Arial" w:cs="Arial"/>
                <w:b/>
                <w:lang w:val="en-GB"/>
              </w:rPr>
              <w:t xml:space="preserve">, </w:t>
            </w:r>
            <w:r w:rsidRPr="008A7E7B">
              <w:rPr>
                <w:rFonts w:ascii="Arial" w:hAnsi="Arial" w:cs="Arial"/>
                <w:lang w:val="en-GB"/>
              </w:rPr>
              <w:t xml:space="preserve">IDB, </w:t>
            </w:r>
            <w:r w:rsidRPr="008A7E7B">
              <w:rPr>
                <w:rFonts w:ascii="Arial" w:hAnsi="Arial" w:cs="Arial"/>
              </w:rPr>
              <w:t xml:space="preserve">IICA, </w:t>
            </w:r>
            <w:r w:rsidRPr="008A7E7B">
              <w:rPr>
                <w:rFonts w:ascii="Arial" w:hAnsi="Arial" w:cs="Arial"/>
                <w:lang w:val="en-GB"/>
              </w:rPr>
              <w:t xml:space="preserve">IEA, </w:t>
            </w:r>
            <w:r w:rsidR="00D71489" w:rsidRPr="008A7E7B">
              <w:rPr>
                <w:rFonts w:ascii="Arial" w:hAnsi="Arial" w:cs="Arial"/>
              </w:rPr>
              <w:t>IIASA (GGI, GAEZ)</w:t>
            </w:r>
            <w:r w:rsidR="00D71489" w:rsidRPr="008A7E7B">
              <w:rPr>
                <w:rFonts w:ascii="Arial" w:hAnsi="Arial" w:cs="Arial"/>
                <w:b/>
              </w:rPr>
              <w:t xml:space="preserve">, </w:t>
            </w:r>
            <w:r w:rsidRPr="008A7E7B">
              <w:rPr>
                <w:rFonts w:ascii="Arial" w:hAnsi="Arial" w:cs="Arial"/>
              </w:rPr>
              <w:t>UNEP (Integrated Biodiversity Assessment Tool</w:t>
            </w:r>
            <w:r w:rsidR="00312395" w:rsidRPr="008A7E7B">
              <w:rPr>
                <w:rFonts w:ascii="Arial" w:hAnsi="Arial" w:cs="Arial"/>
              </w:rPr>
              <w:t>, country mapping studies</w:t>
            </w:r>
            <w:r w:rsidRPr="008A7E7B">
              <w:rPr>
                <w:rFonts w:ascii="Arial" w:hAnsi="Arial" w:cs="Arial"/>
              </w:rPr>
              <w:t>)</w:t>
            </w:r>
            <w:r w:rsidRPr="008A7E7B">
              <w:rPr>
                <w:rFonts w:ascii="Arial" w:hAnsi="Arial" w:cs="Arial"/>
                <w:lang w:val="en-GB"/>
              </w:rPr>
              <w:t>, World Bank.</w:t>
            </w:r>
          </w:p>
        </w:tc>
      </w:tr>
    </w:tbl>
    <w:p w:rsidR="00D71489" w:rsidRPr="00D72124" w:rsidRDefault="00D71489" w:rsidP="00000E8D">
      <w:pPr>
        <w:pStyle w:val="Heading1"/>
        <w:spacing w:before="0" w:line="240" w:lineRule="auto"/>
        <w:rPr>
          <w:rFonts w:ascii="Arial" w:hAnsi="Arial" w:cs="Arial"/>
          <w:color w:val="auto"/>
          <w:sz w:val="22"/>
          <w:szCs w:val="22"/>
        </w:rPr>
      </w:pPr>
      <w:r w:rsidRPr="00EE0D4A">
        <w:rPr>
          <w:rFonts w:ascii="Arial" w:hAnsi="Arial" w:cs="Arial"/>
          <w:color w:val="auto"/>
          <w:sz w:val="22"/>
          <w:szCs w:val="22"/>
        </w:rPr>
        <w:lastRenderedPageBreak/>
        <w:t>Estimated Budget - 2013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8"/>
        <w:gridCol w:w="6138"/>
      </w:tblGrid>
      <w:tr w:rsidR="00D71489" w:rsidRPr="00E22DA9" w:rsidTr="00E22DA9">
        <w:trPr>
          <w:trHeight w:val="557"/>
        </w:trPr>
        <w:tc>
          <w:tcPr>
            <w:tcW w:w="9576" w:type="dxa"/>
            <w:gridSpan w:val="2"/>
          </w:tcPr>
          <w:p w:rsidR="00D71489" w:rsidRPr="00E22DA9" w:rsidRDefault="00D71489" w:rsidP="00E22DA9">
            <w:pPr>
              <w:spacing w:after="120" w:line="240" w:lineRule="auto"/>
              <w:rPr>
                <w:rFonts w:ascii="Arial" w:hAnsi="Arial" w:cs="Arial"/>
                <w:b/>
              </w:rPr>
            </w:pPr>
            <w:r w:rsidRPr="00E22DA9">
              <w:rPr>
                <w:rFonts w:ascii="Arial" w:hAnsi="Arial" w:cs="Arial"/>
                <w:b/>
              </w:rPr>
              <w:t>Administrative Cost – IRENA contribution</w:t>
            </w:r>
            <w:r w:rsidRPr="00E22DA9">
              <w:rPr>
                <w:rStyle w:val="FootnoteReference"/>
                <w:rFonts w:ascii="Arial" w:hAnsi="Arial" w:cs="Arial"/>
                <w:b/>
              </w:rPr>
              <w:footnoteReference w:id="1"/>
            </w:r>
          </w:p>
        </w:tc>
      </w:tr>
      <w:tr w:rsidR="00D71489" w:rsidRPr="00E22DA9" w:rsidTr="00E22DA9">
        <w:trPr>
          <w:trHeight w:val="323"/>
        </w:trPr>
        <w:tc>
          <w:tcPr>
            <w:tcW w:w="3438" w:type="dxa"/>
          </w:tcPr>
          <w:p w:rsidR="00D71489" w:rsidRPr="00E22DA9" w:rsidRDefault="00D71489" w:rsidP="00E22DA9">
            <w:pPr>
              <w:pStyle w:val="ListParagraph"/>
              <w:numPr>
                <w:ilvl w:val="0"/>
                <w:numId w:val="2"/>
              </w:numPr>
              <w:spacing w:after="0" w:line="240" w:lineRule="auto"/>
              <w:rPr>
                <w:rFonts w:ascii="Arial" w:hAnsi="Arial" w:cs="Arial"/>
              </w:rPr>
            </w:pPr>
            <w:r w:rsidRPr="00E22DA9">
              <w:rPr>
                <w:rFonts w:ascii="Arial" w:hAnsi="Arial" w:cs="Arial"/>
              </w:rPr>
              <w:t>Planning Activities</w:t>
            </w:r>
          </w:p>
        </w:tc>
        <w:tc>
          <w:tcPr>
            <w:tcW w:w="6138" w:type="dxa"/>
          </w:tcPr>
          <w:p w:rsidR="00D71489" w:rsidRPr="00E22DA9" w:rsidRDefault="00D71489" w:rsidP="00E22DA9">
            <w:pPr>
              <w:spacing w:after="0" w:line="240" w:lineRule="auto"/>
              <w:rPr>
                <w:rFonts w:ascii="Arial" w:hAnsi="Arial" w:cs="Arial"/>
              </w:rPr>
            </w:pPr>
            <w:r w:rsidRPr="00E22DA9">
              <w:rPr>
                <w:rFonts w:ascii="Arial" w:hAnsi="Arial" w:cs="Arial"/>
              </w:rPr>
              <w:t xml:space="preserve">In kind contribution from IRENA: 2 </w:t>
            </w:r>
            <w:proofErr w:type="spellStart"/>
            <w:r w:rsidRPr="00E22DA9">
              <w:rPr>
                <w:rFonts w:ascii="Arial" w:hAnsi="Arial" w:cs="Arial"/>
              </w:rPr>
              <w:t>man.months</w:t>
            </w:r>
            <w:proofErr w:type="spellEnd"/>
            <w:r w:rsidRPr="00E22DA9">
              <w:rPr>
                <w:rFonts w:ascii="Arial" w:hAnsi="Arial" w:cs="Arial"/>
              </w:rPr>
              <w:t xml:space="preserve">. </w:t>
            </w:r>
          </w:p>
          <w:p w:rsidR="00D71489" w:rsidRPr="00E22DA9" w:rsidRDefault="00D71489" w:rsidP="00E22DA9">
            <w:pPr>
              <w:spacing w:after="0" w:line="240" w:lineRule="auto"/>
              <w:rPr>
                <w:rFonts w:ascii="Arial" w:hAnsi="Arial" w:cs="Arial"/>
              </w:rPr>
            </w:pPr>
            <w:r w:rsidRPr="00E22DA9">
              <w:rPr>
                <w:rFonts w:ascii="Arial" w:hAnsi="Arial" w:cs="Arial"/>
              </w:rPr>
              <w:t xml:space="preserve">External support financed by IRENA: 1 </w:t>
            </w:r>
            <w:proofErr w:type="spellStart"/>
            <w:r w:rsidRPr="00E22DA9">
              <w:rPr>
                <w:rFonts w:ascii="Arial" w:hAnsi="Arial" w:cs="Arial"/>
              </w:rPr>
              <w:t>man.month</w:t>
            </w:r>
            <w:proofErr w:type="spellEnd"/>
          </w:p>
        </w:tc>
      </w:tr>
      <w:tr w:rsidR="00D71489" w:rsidRPr="00E22DA9" w:rsidTr="00E22DA9">
        <w:trPr>
          <w:trHeight w:val="323"/>
        </w:trPr>
        <w:tc>
          <w:tcPr>
            <w:tcW w:w="3438" w:type="dxa"/>
          </w:tcPr>
          <w:p w:rsidR="00D71489" w:rsidRPr="00E22DA9" w:rsidRDefault="00D71489" w:rsidP="00E22DA9">
            <w:pPr>
              <w:pStyle w:val="ListParagraph"/>
              <w:numPr>
                <w:ilvl w:val="0"/>
                <w:numId w:val="2"/>
              </w:numPr>
              <w:spacing w:after="0" w:line="240" w:lineRule="auto"/>
              <w:rPr>
                <w:rFonts w:ascii="Arial" w:hAnsi="Arial" w:cs="Arial"/>
              </w:rPr>
            </w:pPr>
            <w:r w:rsidRPr="00E22DA9">
              <w:rPr>
                <w:rFonts w:ascii="Arial" w:hAnsi="Arial" w:cs="Arial"/>
              </w:rPr>
              <w:t>Travel</w:t>
            </w:r>
          </w:p>
        </w:tc>
        <w:tc>
          <w:tcPr>
            <w:tcW w:w="6138" w:type="dxa"/>
          </w:tcPr>
          <w:p w:rsidR="00D71489" w:rsidRPr="00E22DA9" w:rsidRDefault="00D71489" w:rsidP="00E22DA9">
            <w:pPr>
              <w:spacing w:after="0" w:line="240" w:lineRule="auto"/>
              <w:rPr>
                <w:rFonts w:ascii="Arial" w:hAnsi="Arial" w:cs="Arial"/>
              </w:rPr>
            </w:pPr>
            <w:r w:rsidRPr="00E22DA9">
              <w:rPr>
                <w:rFonts w:ascii="Arial" w:hAnsi="Arial" w:cs="Arial"/>
              </w:rPr>
              <w:t>On case by case basis through the IRENA Global Atlas budget</w:t>
            </w:r>
          </w:p>
        </w:tc>
      </w:tr>
      <w:tr w:rsidR="00D71489" w:rsidRPr="00E22DA9" w:rsidTr="00E22DA9">
        <w:trPr>
          <w:trHeight w:val="530"/>
        </w:trPr>
        <w:tc>
          <w:tcPr>
            <w:tcW w:w="9576" w:type="dxa"/>
            <w:gridSpan w:val="2"/>
          </w:tcPr>
          <w:p w:rsidR="00D71489" w:rsidRPr="00E22DA9" w:rsidRDefault="00D71489" w:rsidP="00E22DA9">
            <w:pPr>
              <w:spacing w:after="0" w:line="240" w:lineRule="auto"/>
              <w:rPr>
                <w:rFonts w:ascii="Arial" w:hAnsi="Arial" w:cs="Arial"/>
                <w:b/>
              </w:rPr>
            </w:pPr>
            <w:r w:rsidRPr="00E22DA9">
              <w:rPr>
                <w:rFonts w:ascii="Arial" w:hAnsi="Arial" w:cs="Arial"/>
                <w:b/>
              </w:rPr>
              <w:t>Project Activity Cost</w:t>
            </w:r>
          </w:p>
        </w:tc>
      </w:tr>
      <w:tr w:rsidR="00D71489" w:rsidRPr="00E22DA9" w:rsidTr="00E22DA9">
        <w:trPr>
          <w:trHeight w:val="242"/>
        </w:trPr>
        <w:tc>
          <w:tcPr>
            <w:tcW w:w="3438" w:type="dxa"/>
          </w:tcPr>
          <w:p w:rsidR="00D71489" w:rsidRPr="00E22DA9" w:rsidRDefault="00D71489" w:rsidP="00E22DA9">
            <w:pPr>
              <w:pStyle w:val="ListParagraph"/>
              <w:numPr>
                <w:ilvl w:val="0"/>
                <w:numId w:val="3"/>
              </w:numPr>
              <w:spacing w:after="0" w:line="240" w:lineRule="auto"/>
              <w:rPr>
                <w:rFonts w:ascii="Arial" w:hAnsi="Arial" w:cs="Arial"/>
              </w:rPr>
            </w:pPr>
            <w:r w:rsidRPr="00E22DA9">
              <w:rPr>
                <w:rFonts w:ascii="Arial" w:hAnsi="Arial" w:cs="Arial"/>
              </w:rPr>
              <w:t>Workshops</w:t>
            </w:r>
          </w:p>
        </w:tc>
        <w:tc>
          <w:tcPr>
            <w:tcW w:w="6138" w:type="dxa"/>
          </w:tcPr>
          <w:p w:rsidR="00D71489" w:rsidRPr="00E22DA9" w:rsidRDefault="00D71489" w:rsidP="00E22DA9">
            <w:pPr>
              <w:spacing w:after="0" w:line="240" w:lineRule="auto"/>
              <w:rPr>
                <w:rFonts w:ascii="Arial" w:hAnsi="Arial" w:cs="Arial"/>
              </w:rPr>
            </w:pPr>
            <w:r w:rsidRPr="00E22DA9">
              <w:rPr>
                <w:rFonts w:ascii="Arial" w:hAnsi="Arial" w:cs="Arial"/>
              </w:rPr>
              <w:t>1 workshop in 2013 financed by IRENA, est. USD 15,000</w:t>
            </w:r>
          </w:p>
        </w:tc>
      </w:tr>
      <w:tr w:rsidR="00D71489" w:rsidRPr="00E22DA9" w:rsidTr="00E22DA9">
        <w:trPr>
          <w:trHeight w:val="242"/>
        </w:trPr>
        <w:tc>
          <w:tcPr>
            <w:tcW w:w="3438" w:type="dxa"/>
          </w:tcPr>
          <w:p w:rsidR="00D71489" w:rsidRPr="00E22DA9" w:rsidRDefault="00D71489" w:rsidP="00E22DA9">
            <w:pPr>
              <w:pStyle w:val="ListParagraph"/>
              <w:numPr>
                <w:ilvl w:val="0"/>
                <w:numId w:val="3"/>
              </w:numPr>
              <w:spacing w:after="0" w:line="240" w:lineRule="auto"/>
              <w:rPr>
                <w:rFonts w:ascii="Arial" w:hAnsi="Arial" w:cs="Arial"/>
              </w:rPr>
            </w:pPr>
            <w:r w:rsidRPr="00E22DA9">
              <w:rPr>
                <w:rFonts w:ascii="Arial" w:hAnsi="Arial" w:cs="Arial"/>
              </w:rPr>
              <w:t>Partners costs</w:t>
            </w:r>
          </w:p>
        </w:tc>
        <w:tc>
          <w:tcPr>
            <w:tcW w:w="6138" w:type="dxa"/>
          </w:tcPr>
          <w:p w:rsidR="00D71489" w:rsidRPr="00E22DA9" w:rsidRDefault="00D71489" w:rsidP="00E22DA9">
            <w:pPr>
              <w:spacing w:after="0" w:line="240" w:lineRule="auto"/>
              <w:rPr>
                <w:rFonts w:ascii="Arial" w:hAnsi="Arial" w:cs="Arial"/>
              </w:rPr>
            </w:pPr>
            <w:r w:rsidRPr="00E22DA9">
              <w:rPr>
                <w:rFonts w:ascii="Arial" w:hAnsi="Arial" w:cs="Arial"/>
              </w:rPr>
              <w:t>For 2013 (planning phase), the effort is financed in kind by the contributing partners.</w:t>
            </w:r>
          </w:p>
        </w:tc>
      </w:tr>
    </w:tbl>
    <w:p w:rsidR="00D71489" w:rsidRDefault="00D71489" w:rsidP="00106E64">
      <w:pPr>
        <w:pStyle w:val="Heading1"/>
        <w:spacing w:before="0" w:after="0" w:line="240" w:lineRule="auto"/>
      </w:pPr>
      <w:r>
        <w:rPr>
          <w:rFonts w:ascii="Arial" w:hAnsi="Arial" w:cs="Arial"/>
          <w:sz w:val="22"/>
          <w:szCs w:val="22"/>
        </w:rPr>
        <w:t xml:space="preserve">    </w:t>
      </w:r>
    </w:p>
    <w:p w:rsidR="00D71489" w:rsidRDefault="00D71489">
      <w:pPr>
        <w:pStyle w:val="Heading1"/>
        <w:jc w:val="center"/>
        <w:rPr>
          <w:rFonts w:ascii="Arial" w:hAnsi="Arial" w:cs="Arial"/>
          <w:color w:val="auto"/>
          <w:sz w:val="22"/>
          <w:szCs w:val="22"/>
        </w:rPr>
      </w:pPr>
      <w:r w:rsidRPr="00EE0D4A">
        <w:rPr>
          <w:rFonts w:ascii="Arial" w:hAnsi="Arial" w:cs="Arial"/>
          <w:color w:val="auto"/>
          <w:sz w:val="22"/>
          <w:szCs w:val="22"/>
        </w:rPr>
        <w:t>In cooperation and with the support of:</w:t>
      </w:r>
    </w:p>
    <w:p w:rsidR="00D71489" w:rsidRDefault="000B183C">
      <w:pPr>
        <w:pStyle w:val="Heading1"/>
        <w:jc w:val="center"/>
        <w:rPr>
          <w:rFonts w:ascii="Arial" w:hAnsi="Arial" w:cs="Arial"/>
          <w:sz w:val="22"/>
          <w:szCs w:val="22"/>
        </w:rPr>
      </w:pPr>
      <w:r>
        <w:rPr>
          <w:rFonts w:ascii="Arial" w:hAnsi="Arial" w:cs="Arial"/>
          <w:noProof/>
          <w:sz w:val="22"/>
          <w:szCs w:val="22"/>
        </w:rPr>
        <w:drawing>
          <wp:inline distT="0" distB="0" distL="0" distR="0">
            <wp:extent cx="2266950" cy="6381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66950" cy="638175"/>
                    </a:xfrm>
                    <a:prstGeom prst="rect">
                      <a:avLst/>
                    </a:prstGeom>
                    <a:noFill/>
                    <a:ln>
                      <a:noFill/>
                    </a:ln>
                  </pic:spPr>
                </pic:pic>
              </a:graphicData>
            </a:graphic>
          </wp:inline>
        </w:drawing>
      </w:r>
    </w:p>
    <w:sectPr w:rsidR="00D71489" w:rsidSect="008A7E7B">
      <w:headerReference w:type="default" r:id="rId11"/>
      <w:footerReference w:type="default" r:id="rId12"/>
      <w:pgSz w:w="12240" w:h="15840"/>
      <w:pgMar w:top="1985" w:right="1440" w:bottom="1418" w:left="1440" w:header="28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0DA" w:rsidRDefault="005E70DA" w:rsidP="007B5C4E">
      <w:pPr>
        <w:spacing w:after="0" w:line="240" w:lineRule="auto"/>
      </w:pPr>
      <w:r>
        <w:separator/>
      </w:r>
    </w:p>
  </w:endnote>
  <w:endnote w:type="continuationSeparator" w:id="0">
    <w:p w:rsidR="005E70DA" w:rsidRDefault="005E70DA" w:rsidP="007B5C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187528"/>
      <w:docPartObj>
        <w:docPartGallery w:val="Page Numbers (Bottom of Page)"/>
        <w:docPartUnique/>
      </w:docPartObj>
    </w:sdtPr>
    <w:sdtContent>
      <w:p w:rsidR="008A7E7B" w:rsidRDefault="00F87F32">
        <w:pPr>
          <w:pStyle w:val="Footer"/>
          <w:jc w:val="right"/>
        </w:pPr>
        <w:fldSimple w:instr=" PAGE   \* MERGEFORMAT ">
          <w:r w:rsidR="007A2FF7">
            <w:rPr>
              <w:noProof/>
            </w:rPr>
            <w:t>1</w:t>
          </w:r>
        </w:fldSimple>
      </w:p>
    </w:sdtContent>
  </w:sdt>
  <w:p w:rsidR="00404906" w:rsidRDefault="00404906" w:rsidP="00404906">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0DA" w:rsidRDefault="005E70DA" w:rsidP="007B5C4E">
      <w:pPr>
        <w:spacing w:after="0" w:line="240" w:lineRule="auto"/>
      </w:pPr>
      <w:r>
        <w:separator/>
      </w:r>
    </w:p>
  </w:footnote>
  <w:footnote w:type="continuationSeparator" w:id="0">
    <w:p w:rsidR="005E70DA" w:rsidRDefault="005E70DA" w:rsidP="007B5C4E">
      <w:pPr>
        <w:spacing w:after="0" w:line="240" w:lineRule="auto"/>
      </w:pPr>
      <w:r>
        <w:continuationSeparator/>
      </w:r>
    </w:p>
  </w:footnote>
  <w:footnote w:id="1">
    <w:p w:rsidR="00D71489" w:rsidRDefault="00D71489">
      <w:pPr>
        <w:pStyle w:val="FootnoteText"/>
      </w:pPr>
      <w:r>
        <w:rPr>
          <w:rStyle w:val="FootnoteReference"/>
        </w:rPr>
        <w:footnoteRef/>
      </w:r>
      <w:r>
        <w:t xml:space="preserve"> Preliminary figures upon acceptance of the IRENA work programme and budget by the IRENA Assembly for 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489" w:rsidRDefault="00D71489" w:rsidP="00A551A2">
    <w:pPr>
      <w:pStyle w:val="Header"/>
      <w:ind w:left="-426" w:firstLine="142"/>
    </w:pPr>
    <w:r>
      <w:rPr>
        <w:noProof/>
      </w:rPr>
      <w:t xml:space="preserve">                        </w:t>
    </w:r>
    <w:r w:rsidR="000B183C">
      <w:rPr>
        <w:noProof/>
      </w:rPr>
      <w:drawing>
        <wp:inline distT="0" distB="0" distL="0" distR="0">
          <wp:extent cx="6496050" cy="72390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96050" cy="723900"/>
                  </a:xfrm>
                  <a:prstGeom prst="rect">
                    <a:avLst/>
                  </a:prstGeom>
                  <a:noFill/>
                  <a:ln>
                    <a:noFill/>
                  </a:ln>
                </pic:spPr>
              </pic:pic>
            </a:graphicData>
          </a:graphic>
        </wp:inline>
      </w:drawing>
    </w:r>
    <w:r>
      <w:rPr>
        <w:noProof/>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700E"/>
    <w:multiLevelType w:val="hybridMultilevel"/>
    <w:tmpl w:val="2DB24D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B731408"/>
    <w:multiLevelType w:val="hybridMultilevel"/>
    <w:tmpl w:val="41FA6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6B0618"/>
    <w:multiLevelType w:val="hybridMultilevel"/>
    <w:tmpl w:val="490CD14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AA63E13"/>
    <w:multiLevelType w:val="hybridMultilevel"/>
    <w:tmpl w:val="261C5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733238E"/>
    <w:multiLevelType w:val="hybridMultilevel"/>
    <w:tmpl w:val="75C0C1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8194"/>
  </w:hdrShapeDefaults>
  <w:footnotePr>
    <w:footnote w:id="-1"/>
    <w:footnote w:id="0"/>
  </w:footnotePr>
  <w:endnotePr>
    <w:endnote w:id="-1"/>
    <w:endnote w:id="0"/>
  </w:endnotePr>
  <w:compat/>
  <w:rsids>
    <w:rsidRoot w:val="00B2356C"/>
    <w:rsid w:val="00000E8D"/>
    <w:rsid w:val="00013CCB"/>
    <w:rsid w:val="0004455D"/>
    <w:rsid w:val="000520F0"/>
    <w:rsid w:val="00057BCF"/>
    <w:rsid w:val="0006216A"/>
    <w:rsid w:val="000A7845"/>
    <w:rsid w:val="000B183C"/>
    <w:rsid w:val="000C7189"/>
    <w:rsid w:val="000D1360"/>
    <w:rsid w:val="000D6B20"/>
    <w:rsid w:val="000E0AF0"/>
    <w:rsid w:val="000F27C6"/>
    <w:rsid w:val="000F5289"/>
    <w:rsid w:val="00106E64"/>
    <w:rsid w:val="00172A7B"/>
    <w:rsid w:val="001F4B08"/>
    <w:rsid w:val="001F6A01"/>
    <w:rsid w:val="0021239D"/>
    <w:rsid w:val="00231D12"/>
    <w:rsid w:val="002433F3"/>
    <w:rsid w:val="00246040"/>
    <w:rsid w:val="00256C6C"/>
    <w:rsid w:val="002615FA"/>
    <w:rsid w:val="00265EA0"/>
    <w:rsid w:val="002C6664"/>
    <w:rsid w:val="002E099A"/>
    <w:rsid w:val="002F47C4"/>
    <w:rsid w:val="002F658A"/>
    <w:rsid w:val="00303BFE"/>
    <w:rsid w:val="00312395"/>
    <w:rsid w:val="00323A0D"/>
    <w:rsid w:val="00395B4F"/>
    <w:rsid w:val="004032DA"/>
    <w:rsid w:val="004035B2"/>
    <w:rsid w:val="00404906"/>
    <w:rsid w:val="00405D78"/>
    <w:rsid w:val="00430943"/>
    <w:rsid w:val="0043299E"/>
    <w:rsid w:val="004651C0"/>
    <w:rsid w:val="00497702"/>
    <w:rsid w:val="00531E8C"/>
    <w:rsid w:val="00554825"/>
    <w:rsid w:val="00560A1C"/>
    <w:rsid w:val="005651BD"/>
    <w:rsid w:val="00582A59"/>
    <w:rsid w:val="00582EBF"/>
    <w:rsid w:val="005846F5"/>
    <w:rsid w:val="005C302A"/>
    <w:rsid w:val="005C77A8"/>
    <w:rsid w:val="005E6F33"/>
    <w:rsid w:val="005E70DA"/>
    <w:rsid w:val="00610DD8"/>
    <w:rsid w:val="00632A45"/>
    <w:rsid w:val="00633EF9"/>
    <w:rsid w:val="00644BE4"/>
    <w:rsid w:val="006977A1"/>
    <w:rsid w:val="006D3E43"/>
    <w:rsid w:val="00755F65"/>
    <w:rsid w:val="007816A0"/>
    <w:rsid w:val="007A2FF7"/>
    <w:rsid w:val="007B5C4E"/>
    <w:rsid w:val="007C35E4"/>
    <w:rsid w:val="007F2161"/>
    <w:rsid w:val="00853ABC"/>
    <w:rsid w:val="008706E6"/>
    <w:rsid w:val="0089771F"/>
    <w:rsid w:val="008A7E7B"/>
    <w:rsid w:val="0090775B"/>
    <w:rsid w:val="009132B2"/>
    <w:rsid w:val="00913D3D"/>
    <w:rsid w:val="009661D9"/>
    <w:rsid w:val="009D2D70"/>
    <w:rsid w:val="009D46AA"/>
    <w:rsid w:val="009F2A16"/>
    <w:rsid w:val="00A21F57"/>
    <w:rsid w:val="00A31041"/>
    <w:rsid w:val="00A4218A"/>
    <w:rsid w:val="00A45AAA"/>
    <w:rsid w:val="00A551A2"/>
    <w:rsid w:val="00A74B6B"/>
    <w:rsid w:val="00A93E7F"/>
    <w:rsid w:val="00AB4C0A"/>
    <w:rsid w:val="00AB5182"/>
    <w:rsid w:val="00AB670E"/>
    <w:rsid w:val="00AD1A86"/>
    <w:rsid w:val="00AF31CE"/>
    <w:rsid w:val="00AF3EB8"/>
    <w:rsid w:val="00B059C8"/>
    <w:rsid w:val="00B114F2"/>
    <w:rsid w:val="00B11D13"/>
    <w:rsid w:val="00B2356C"/>
    <w:rsid w:val="00B4684E"/>
    <w:rsid w:val="00B6194B"/>
    <w:rsid w:val="00B64470"/>
    <w:rsid w:val="00B921D2"/>
    <w:rsid w:val="00BA6939"/>
    <w:rsid w:val="00BC7FA0"/>
    <w:rsid w:val="00BF4A39"/>
    <w:rsid w:val="00BF5973"/>
    <w:rsid w:val="00C02DBB"/>
    <w:rsid w:val="00C647C9"/>
    <w:rsid w:val="00CC2485"/>
    <w:rsid w:val="00CE2B69"/>
    <w:rsid w:val="00CE7728"/>
    <w:rsid w:val="00D00C9A"/>
    <w:rsid w:val="00D00F14"/>
    <w:rsid w:val="00D22DD3"/>
    <w:rsid w:val="00D314C5"/>
    <w:rsid w:val="00D45C23"/>
    <w:rsid w:val="00D66105"/>
    <w:rsid w:val="00D71489"/>
    <w:rsid w:val="00D72124"/>
    <w:rsid w:val="00D80A6F"/>
    <w:rsid w:val="00D93D20"/>
    <w:rsid w:val="00D953A3"/>
    <w:rsid w:val="00DB3C8D"/>
    <w:rsid w:val="00DD13A7"/>
    <w:rsid w:val="00DD1C1C"/>
    <w:rsid w:val="00DD677C"/>
    <w:rsid w:val="00DF33A2"/>
    <w:rsid w:val="00E14FF3"/>
    <w:rsid w:val="00E22DA9"/>
    <w:rsid w:val="00E24E1F"/>
    <w:rsid w:val="00E3080E"/>
    <w:rsid w:val="00E4272F"/>
    <w:rsid w:val="00EC0A41"/>
    <w:rsid w:val="00EE0D4A"/>
    <w:rsid w:val="00F07DC8"/>
    <w:rsid w:val="00F11B35"/>
    <w:rsid w:val="00F17357"/>
    <w:rsid w:val="00F21E8C"/>
    <w:rsid w:val="00F87F32"/>
    <w:rsid w:val="00FD2B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939"/>
    <w:pPr>
      <w:spacing w:after="200" w:line="276" w:lineRule="auto"/>
    </w:pPr>
    <w:rPr>
      <w:lang w:val="en-US" w:eastAsia="en-US"/>
    </w:rPr>
  </w:style>
  <w:style w:type="paragraph" w:styleId="Heading1">
    <w:name w:val="heading 1"/>
    <w:basedOn w:val="Normal"/>
    <w:next w:val="Normal"/>
    <w:link w:val="Heading1Char"/>
    <w:uiPriority w:val="99"/>
    <w:qFormat/>
    <w:rsid w:val="00E24E1F"/>
    <w:pPr>
      <w:keepNext/>
      <w:keepLines/>
      <w:spacing w:before="200" w:after="12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4E1F"/>
    <w:rPr>
      <w:rFonts w:ascii="Cambria" w:hAnsi="Cambria" w:cs="Times New Roman"/>
      <w:b/>
      <w:bCs/>
      <w:color w:val="365F91"/>
      <w:sz w:val="28"/>
      <w:szCs w:val="28"/>
    </w:rPr>
  </w:style>
  <w:style w:type="paragraph" w:styleId="Header">
    <w:name w:val="header"/>
    <w:basedOn w:val="Normal"/>
    <w:link w:val="HeaderChar"/>
    <w:uiPriority w:val="99"/>
    <w:rsid w:val="007B5C4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B5C4E"/>
    <w:rPr>
      <w:rFonts w:cs="Times New Roman"/>
    </w:rPr>
  </w:style>
  <w:style w:type="paragraph" w:styleId="Footer">
    <w:name w:val="footer"/>
    <w:basedOn w:val="Normal"/>
    <w:link w:val="FooterChar"/>
    <w:uiPriority w:val="99"/>
    <w:rsid w:val="007B5C4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B5C4E"/>
    <w:rPr>
      <w:rFonts w:cs="Times New Roman"/>
    </w:rPr>
  </w:style>
  <w:style w:type="paragraph" w:styleId="BalloonText">
    <w:name w:val="Balloon Text"/>
    <w:basedOn w:val="Normal"/>
    <w:link w:val="BalloonTextChar"/>
    <w:uiPriority w:val="99"/>
    <w:semiHidden/>
    <w:rsid w:val="007B5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5C4E"/>
    <w:rPr>
      <w:rFonts w:ascii="Tahoma" w:hAnsi="Tahoma" w:cs="Tahoma"/>
      <w:sz w:val="16"/>
      <w:szCs w:val="16"/>
    </w:rPr>
  </w:style>
  <w:style w:type="paragraph" w:styleId="Title">
    <w:name w:val="Title"/>
    <w:basedOn w:val="Normal"/>
    <w:next w:val="Normal"/>
    <w:link w:val="TitleChar"/>
    <w:uiPriority w:val="99"/>
    <w:qFormat/>
    <w:rsid w:val="007B5C4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7B5C4E"/>
    <w:rPr>
      <w:rFonts w:ascii="Cambria" w:hAnsi="Cambria" w:cs="Times New Roman"/>
      <w:color w:val="17365D"/>
      <w:spacing w:val="5"/>
      <w:kern w:val="28"/>
      <w:sz w:val="52"/>
      <w:szCs w:val="52"/>
    </w:rPr>
  </w:style>
  <w:style w:type="table" w:styleId="TableGrid">
    <w:name w:val="Table Grid"/>
    <w:basedOn w:val="TableNormal"/>
    <w:uiPriority w:val="99"/>
    <w:rsid w:val="007B5C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05D78"/>
    <w:pPr>
      <w:ind w:left="720"/>
      <w:contextualSpacing/>
    </w:pPr>
  </w:style>
  <w:style w:type="paragraph" w:styleId="Caption">
    <w:name w:val="caption"/>
    <w:basedOn w:val="Normal"/>
    <w:next w:val="Normal"/>
    <w:autoRedefine/>
    <w:uiPriority w:val="99"/>
    <w:qFormat/>
    <w:rsid w:val="006977A1"/>
    <w:pPr>
      <w:widowControl w:val="0"/>
      <w:adjustRightInd w:val="0"/>
      <w:spacing w:before="120" w:after="240" w:line="360" w:lineRule="atLeast"/>
      <w:ind w:left="1440"/>
      <w:jc w:val="both"/>
      <w:textAlignment w:val="baseline"/>
    </w:pPr>
    <w:rPr>
      <w:rFonts w:ascii="Arial" w:eastAsia="Times New Roman" w:hAnsi="Arial"/>
      <w:b/>
      <w:bCs/>
      <w:sz w:val="16"/>
      <w:szCs w:val="16"/>
      <w:lang w:val="en-GB"/>
    </w:rPr>
  </w:style>
  <w:style w:type="paragraph" w:customStyle="1" w:styleId="Heading41">
    <w:name w:val="Heading 41"/>
    <w:basedOn w:val="Normal"/>
    <w:link w:val="heading4Char"/>
    <w:autoRedefine/>
    <w:uiPriority w:val="99"/>
    <w:rsid w:val="005C77A8"/>
    <w:pPr>
      <w:spacing w:before="40" w:after="40" w:line="360" w:lineRule="auto"/>
    </w:pPr>
    <w:rPr>
      <w:rFonts w:ascii="Arial" w:eastAsia="Times New Roman" w:hAnsi="Arial"/>
      <w:b/>
      <w:sz w:val="20"/>
      <w:szCs w:val="24"/>
      <w:lang w:val="pt-BR" w:eastAsia="en-GB"/>
    </w:rPr>
  </w:style>
  <w:style w:type="character" w:customStyle="1" w:styleId="heading4Char">
    <w:name w:val="heading 4 Char"/>
    <w:link w:val="Heading41"/>
    <w:uiPriority w:val="99"/>
    <w:locked/>
    <w:rsid w:val="005C77A8"/>
    <w:rPr>
      <w:rFonts w:ascii="Arial" w:hAnsi="Arial"/>
      <w:b/>
      <w:sz w:val="24"/>
      <w:lang w:eastAsia="en-GB"/>
    </w:rPr>
  </w:style>
  <w:style w:type="character" w:styleId="CommentReference">
    <w:name w:val="annotation reference"/>
    <w:basedOn w:val="DefaultParagraphFont"/>
    <w:uiPriority w:val="99"/>
    <w:semiHidden/>
    <w:rsid w:val="00582EBF"/>
    <w:rPr>
      <w:rFonts w:cs="Times New Roman"/>
      <w:sz w:val="16"/>
      <w:szCs w:val="16"/>
    </w:rPr>
  </w:style>
  <w:style w:type="paragraph" w:styleId="CommentText">
    <w:name w:val="annotation text"/>
    <w:basedOn w:val="Normal"/>
    <w:link w:val="CommentTextChar"/>
    <w:uiPriority w:val="99"/>
    <w:semiHidden/>
    <w:rsid w:val="00582EB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2EBF"/>
    <w:rPr>
      <w:rFonts w:cs="Times New Roman"/>
      <w:sz w:val="20"/>
      <w:szCs w:val="20"/>
    </w:rPr>
  </w:style>
  <w:style w:type="paragraph" w:styleId="CommentSubject">
    <w:name w:val="annotation subject"/>
    <w:basedOn w:val="CommentText"/>
    <w:next w:val="CommentText"/>
    <w:link w:val="CommentSubjectChar"/>
    <w:uiPriority w:val="99"/>
    <w:semiHidden/>
    <w:rsid w:val="00582EBF"/>
    <w:rPr>
      <w:b/>
      <w:bCs/>
    </w:rPr>
  </w:style>
  <w:style w:type="character" w:customStyle="1" w:styleId="CommentSubjectChar">
    <w:name w:val="Comment Subject Char"/>
    <w:basedOn w:val="CommentTextChar"/>
    <w:link w:val="CommentSubject"/>
    <w:uiPriority w:val="99"/>
    <w:semiHidden/>
    <w:locked/>
    <w:rsid w:val="00582EBF"/>
    <w:rPr>
      <w:rFonts w:cs="Times New Roman"/>
      <w:b/>
      <w:bCs/>
      <w:sz w:val="20"/>
      <w:szCs w:val="20"/>
    </w:rPr>
  </w:style>
  <w:style w:type="paragraph" w:styleId="FootnoteText">
    <w:name w:val="footnote text"/>
    <w:basedOn w:val="Normal"/>
    <w:link w:val="FootnoteTextChar"/>
    <w:uiPriority w:val="99"/>
    <w:semiHidden/>
    <w:rsid w:val="00531E8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531E8C"/>
    <w:rPr>
      <w:rFonts w:cs="Times New Roman"/>
      <w:sz w:val="20"/>
      <w:szCs w:val="20"/>
    </w:rPr>
  </w:style>
  <w:style w:type="character" w:styleId="FootnoteReference">
    <w:name w:val="footnote reference"/>
    <w:basedOn w:val="DefaultParagraphFont"/>
    <w:uiPriority w:val="99"/>
    <w:semiHidden/>
    <w:rsid w:val="00531E8C"/>
    <w:rPr>
      <w:rFonts w:cs="Times New Roman"/>
      <w:vertAlign w:val="superscript"/>
    </w:rPr>
  </w:style>
  <w:style w:type="paragraph" w:customStyle="1" w:styleId="Default">
    <w:name w:val="Default"/>
    <w:uiPriority w:val="99"/>
    <w:rsid w:val="00D72124"/>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hps">
    <w:name w:val="hps"/>
    <w:basedOn w:val="DefaultParagraphFont"/>
    <w:uiPriority w:val="99"/>
    <w:rsid w:val="00D93D20"/>
    <w:rPr>
      <w:rFonts w:cs="Times New Roman"/>
    </w:rPr>
  </w:style>
  <w:style w:type="character" w:customStyle="1" w:styleId="hpsatn">
    <w:name w:val="hps atn"/>
    <w:basedOn w:val="DefaultParagraphFont"/>
    <w:uiPriority w:val="99"/>
    <w:rsid w:val="00D93D20"/>
    <w:rPr>
      <w:rFonts w:cs="Times New Roman"/>
    </w:rPr>
  </w:style>
  <w:style w:type="character" w:customStyle="1" w:styleId="atn">
    <w:name w:val="atn"/>
    <w:basedOn w:val="DefaultParagraphFont"/>
    <w:uiPriority w:val="99"/>
    <w:rsid w:val="00D93D20"/>
    <w:rPr>
      <w:rFonts w:cs="Times New Roman"/>
    </w:rPr>
  </w:style>
  <w:style w:type="character" w:styleId="Hyperlink">
    <w:name w:val="Hyperlink"/>
    <w:basedOn w:val="DefaultParagraphFont"/>
    <w:uiPriority w:val="99"/>
    <w:unhideWhenUsed/>
    <w:rsid w:val="006D3E43"/>
    <w:rPr>
      <w:color w:val="0000FF" w:themeColor="hyperlink"/>
      <w:u w:val="single"/>
    </w:rPr>
  </w:style>
  <w:style w:type="character" w:styleId="IntenseEmphasis">
    <w:name w:val="Intense Emphasis"/>
    <w:basedOn w:val="DefaultParagraphFont"/>
    <w:uiPriority w:val="21"/>
    <w:qFormat/>
    <w:rsid w:val="00582A59"/>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939"/>
    <w:pPr>
      <w:spacing w:after="200" w:line="276" w:lineRule="auto"/>
    </w:pPr>
    <w:rPr>
      <w:lang w:val="en-US" w:eastAsia="en-US"/>
    </w:rPr>
  </w:style>
  <w:style w:type="paragraph" w:styleId="Heading1">
    <w:name w:val="heading 1"/>
    <w:basedOn w:val="Normal"/>
    <w:next w:val="Normal"/>
    <w:link w:val="Heading1Char"/>
    <w:uiPriority w:val="99"/>
    <w:qFormat/>
    <w:rsid w:val="00E24E1F"/>
    <w:pPr>
      <w:keepNext/>
      <w:keepLines/>
      <w:spacing w:before="200" w:after="12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4E1F"/>
    <w:rPr>
      <w:rFonts w:ascii="Cambria" w:hAnsi="Cambria" w:cs="Times New Roman"/>
      <w:b/>
      <w:bCs/>
      <w:color w:val="365F91"/>
      <w:sz w:val="28"/>
      <w:szCs w:val="28"/>
    </w:rPr>
  </w:style>
  <w:style w:type="paragraph" w:styleId="Header">
    <w:name w:val="header"/>
    <w:basedOn w:val="Normal"/>
    <w:link w:val="HeaderChar"/>
    <w:uiPriority w:val="99"/>
    <w:rsid w:val="007B5C4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B5C4E"/>
    <w:rPr>
      <w:rFonts w:cs="Times New Roman"/>
    </w:rPr>
  </w:style>
  <w:style w:type="paragraph" w:styleId="Footer">
    <w:name w:val="footer"/>
    <w:basedOn w:val="Normal"/>
    <w:link w:val="FooterChar"/>
    <w:uiPriority w:val="99"/>
    <w:rsid w:val="007B5C4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B5C4E"/>
    <w:rPr>
      <w:rFonts w:cs="Times New Roman"/>
    </w:rPr>
  </w:style>
  <w:style w:type="paragraph" w:styleId="BalloonText">
    <w:name w:val="Balloon Text"/>
    <w:basedOn w:val="Normal"/>
    <w:link w:val="BalloonTextChar"/>
    <w:uiPriority w:val="99"/>
    <w:semiHidden/>
    <w:rsid w:val="007B5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5C4E"/>
    <w:rPr>
      <w:rFonts w:ascii="Tahoma" w:hAnsi="Tahoma" w:cs="Tahoma"/>
      <w:sz w:val="16"/>
      <w:szCs w:val="16"/>
    </w:rPr>
  </w:style>
  <w:style w:type="paragraph" w:styleId="Title">
    <w:name w:val="Title"/>
    <w:basedOn w:val="Normal"/>
    <w:next w:val="Normal"/>
    <w:link w:val="TitleChar"/>
    <w:uiPriority w:val="99"/>
    <w:qFormat/>
    <w:rsid w:val="007B5C4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7B5C4E"/>
    <w:rPr>
      <w:rFonts w:ascii="Cambria" w:hAnsi="Cambria" w:cs="Times New Roman"/>
      <w:color w:val="17365D"/>
      <w:spacing w:val="5"/>
      <w:kern w:val="28"/>
      <w:sz w:val="52"/>
      <w:szCs w:val="52"/>
    </w:rPr>
  </w:style>
  <w:style w:type="table" w:styleId="TableGrid">
    <w:name w:val="Table Grid"/>
    <w:basedOn w:val="TableNormal"/>
    <w:uiPriority w:val="99"/>
    <w:rsid w:val="007B5C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05D78"/>
    <w:pPr>
      <w:ind w:left="720"/>
      <w:contextualSpacing/>
    </w:pPr>
  </w:style>
  <w:style w:type="paragraph" w:styleId="Caption">
    <w:name w:val="caption"/>
    <w:basedOn w:val="Normal"/>
    <w:next w:val="Normal"/>
    <w:autoRedefine/>
    <w:uiPriority w:val="99"/>
    <w:qFormat/>
    <w:rsid w:val="006977A1"/>
    <w:pPr>
      <w:widowControl w:val="0"/>
      <w:adjustRightInd w:val="0"/>
      <w:spacing w:before="120" w:after="240" w:line="360" w:lineRule="atLeast"/>
      <w:ind w:left="1440"/>
      <w:jc w:val="both"/>
      <w:textAlignment w:val="baseline"/>
    </w:pPr>
    <w:rPr>
      <w:rFonts w:ascii="Arial" w:eastAsia="Times New Roman" w:hAnsi="Arial"/>
      <w:b/>
      <w:bCs/>
      <w:sz w:val="16"/>
      <w:szCs w:val="16"/>
      <w:lang w:val="en-GB"/>
    </w:rPr>
  </w:style>
  <w:style w:type="paragraph" w:customStyle="1" w:styleId="Heading41">
    <w:name w:val="Heading 41"/>
    <w:basedOn w:val="Normal"/>
    <w:link w:val="heading4Char"/>
    <w:autoRedefine/>
    <w:uiPriority w:val="99"/>
    <w:rsid w:val="005C77A8"/>
    <w:pPr>
      <w:spacing w:before="40" w:after="40" w:line="360" w:lineRule="auto"/>
    </w:pPr>
    <w:rPr>
      <w:rFonts w:ascii="Arial" w:eastAsia="Times New Roman" w:hAnsi="Arial"/>
      <w:b/>
      <w:sz w:val="20"/>
      <w:szCs w:val="24"/>
      <w:lang w:val="pt-BR" w:eastAsia="en-GB"/>
    </w:rPr>
  </w:style>
  <w:style w:type="character" w:customStyle="1" w:styleId="heading4Char">
    <w:name w:val="heading 4 Char"/>
    <w:link w:val="Heading41"/>
    <w:uiPriority w:val="99"/>
    <w:locked/>
    <w:rsid w:val="005C77A8"/>
    <w:rPr>
      <w:rFonts w:ascii="Arial" w:hAnsi="Arial"/>
      <w:b/>
      <w:sz w:val="24"/>
      <w:lang w:eastAsia="en-GB"/>
    </w:rPr>
  </w:style>
  <w:style w:type="character" w:styleId="CommentReference">
    <w:name w:val="annotation reference"/>
    <w:basedOn w:val="DefaultParagraphFont"/>
    <w:uiPriority w:val="99"/>
    <w:semiHidden/>
    <w:rsid w:val="00582EBF"/>
    <w:rPr>
      <w:rFonts w:cs="Times New Roman"/>
      <w:sz w:val="16"/>
      <w:szCs w:val="16"/>
    </w:rPr>
  </w:style>
  <w:style w:type="paragraph" w:styleId="CommentText">
    <w:name w:val="annotation text"/>
    <w:basedOn w:val="Normal"/>
    <w:link w:val="CommentTextChar"/>
    <w:uiPriority w:val="99"/>
    <w:semiHidden/>
    <w:rsid w:val="00582EB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2EBF"/>
    <w:rPr>
      <w:rFonts w:cs="Times New Roman"/>
      <w:sz w:val="20"/>
      <w:szCs w:val="20"/>
    </w:rPr>
  </w:style>
  <w:style w:type="paragraph" w:styleId="CommentSubject">
    <w:name w:val="annotation subject"/>
    <w:basedOn w:val="CommentText"/>
    <w:next w:val="CommentText"/>
    <w:link w:val="CommentSubjectChar"/>
    <w:uiPriority w:val="99"/>
    <w:semiHidden/>
    <w:rsid w:val="00582EBF"/>
    <w:rPr>
      <w:b/>
      <w:bCs/>
    </w:rPr>
  </w:style>
  <w:style w:type="character" w:customStyle="1" w:styleId="CommentSubjectChar">
    <w:name w:val="Comment Subject Char"/>
    <w:basedOn w:val="CommentTextChar"/>
    <w:link w:val="CommentSubject"/>
    <w:uiPriority w:val="99"/>
    <w:semiHidden/>
    <w:locked/>
    <w:rsid w:val="00582EBF"/>
    <w:rPr>
      <w:rFonts w:cs="Times New Roman"/>
      <w:b/>
      <w:bCs/>
      <w:sz w:val="20"/>
      <w:szCs w:val="20"/>
    </w:rPr>
  </w:style>
  <w:style w:type="paragraph" w:styleId="FootnoteText">
    <w:name w:val="footnote text"/>
    <w:basedOn w:val="Normal"/>
    <w:link w:val="FootnoteTextChar"/>
    <w:uiPriority w:val="99"/>
    <w:semiHidden/>
    <w:rsid w:val="00531E8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531E8C"/>
    <w:rPr>
      <w:rFonts w:cs="Times New Roman"/>
      <w:sz w:val="20"/>
      <w:szCs w:val="20"/>
    </w:rPr>
  </w:style>
  <w:style w:type="character" w:styleId="FootnoteReference">
    <w:name w:val="footnote reference"/>
    <w:basedOn w:val="DefaultParagraphFont"/>
    <w:uiPriority w:val="99"/>
    <w:semiHidden/>
    <w:rsid w:val="00531E8C"/>
    <w:rPr>
      <w:rFonts w:cs="Times New Roman"/>
      <w:vertAlign w:val="superscript"/>
    </w:rPr>
  </w:style>
  <w:style w:type="paragraph" w:customStyle="1" w:styleId="Default">
    <w:name w:val="Default"/>
    <w:uiPriority w:val="99"/>
    <w:rsid w:val="00D72124"/>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hps">
    <w:name w:val="hps"/>
    <w:basedOn w:val="DefaultParagraphFont"/>
    <w:uiPriority w:val="99"/>
    <w:rsid w:val="00D93D20"/>
    <w:rPr>
      <w:rFonts w:cs="Times New Roman"/>
    </w:rPr>
  </w:style>
  <w:style w:type="character" w:customStyle="1" w:styleId="hpsatn">
    <w:name w:val="hps atn"/>
    <w:basedOn w:val="DefaultParagraphFont"/>
    <w:uiPriority w:val="99"/>
    <w:rsid w:val="00D93D20"/>
    <w:rPr>
      <w:rFonts w:cs="Times New Roman"/>
    </w:rPr>
  </w:style>
  <w:style w:type="character" w:customStyle="1" w:styleId="atn">
    <w:name w:val="atn"/>
    <w:basedOn w:val="DefaultParagraphFont"/>
    <w:uiPriority w:val="99"/>
    <w:rsid w:val="00D93D20"/>
    <w:rPr>
      <w:rFonts w:cs="Times New Roman"/>
    </w:rPr>
  </w:style>
  <w:style w:type="character" w:styleId="Hyperlink">
    <w:name w:val="Hyperlink"/>
    <w:basedOn w:val="DefaultParagraphFont"/>
    <w:uiPriority w:val="99"/>
    <w:unhideWhenUsed/>
    <w:rsid w:val="006D3E43"/>
    <w:rPr>
      <w:color w:val="0000FF" w:themeColor="hyperlink"/>
      <w:u w:val="single"/>
    </w:rPr>
  </w:style>
  <w:style w:type="character" w:styleId="IntenseEmphasis">
    <w:name w:val="Intense Emphasis"/>
    <w:basedOn w:val="DefaultParagraphFont"/>
    <w:uiPriority w:val="21"/>
    <w:qFormat/>
    <w:rsid w:val="00582A59"/>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o.org/geonetwork/srv/en/main.ho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b-i-o.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ABE9B-C146-47E3-8184-899835DF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1852</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GBEP Working Group on Capacity Building</vt:lpstr>
    </vt:vector>
  </TitlesOfParts>
  <Company>FAO of the UN</Company>
  <LinksUpToDate>false</LinksUpToDate>
  <CharactersWithSpaces>12391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GBEP Working Group on Capacity Building</dc:title>
  <dc:creator>Abdulmalik Oricha Ali</dc:creator>
  <cp:lastModifiedBy>Michela Morese (NRC)</cp:lastModifiedBy>
  <cp:revision>3</cp:revision>
  <dcterms:created xsi:type="dcterms:W3CDTF">2013-01-30T12:22:00Z</dcterms:created>
  <dcterms:modified xsi:type="dcterms:W3CDTF">2013-01-30T12:23:00Z</dcterms:modified>
</cp:coreProperties>
</file>