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0"/>
        <w:gridCol w:w="5669"/>
        <w:gridCol w:w="1808"/>
      </w:tblGrid>
      <w:tr w:rsidR="001076D5" w:rsidRPr="001076D5" w:rsidTr="001076D5">
        <w:tc>
          <w:tcPr>
            <w:tcW w:w="1810" w:type="dxa"/>
          </w:tcPr>
          <w:p w:rsidR="001076D5" w:rsidRPr="001076D5" w:rsidRDefault="001076D5" w:rsidP="001076D5">
            <w:pPr>
              <w:jc w:val="center"/>
              <w:rPr>
                <w:rFonts w:ascii="Calibri" w:hAnsi="Calibri"/>
                <w:lang w:val="en-US"/>
              </w:rPr>
            </w:pPr>
            <w:r w:rsidRPr="001076D5">
              <w:rPr>
                <w:rFonts w:ascii="Calibri" w:eastAsia="Times New Roman" w:hAnsi="Calibri" w:cs="Arial"/>
                <w:noProof/>
                <w:color w:val="0000FF"/>
                <w:lang w:eastAsia="zh-CN" w:bidi="mn-Mong-CN"/>
              </w:rPr>
              <w:drawing>
                <wp:inline distT="0" distB="0" distL="0" distR="0">
                  <wp:extent cx="1011936" cy="1413599"/>
                  <wp:effectExtent l="0" t="0" r="0" b="0"/>
                  <wp:docPr id="1" name="Picture 2" descr="https://encrypted-tbn0.gstatic.com/images?q=tbn:ANd9GcR3hAocVIh_dExfTEC_DR6EsmJDIdWghFdrkxDDj18gm6l_kd_C7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3hAocVIh_dExfTEC_DR6EsmJDIdWghFdrkxDDj18gm6l_kd_C7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4664" cy="1417410"/>
                          </a:xfrm>
                          <a:prstGeom prst="rect">
                            <a:avLst/>
                          </a:prstGeom>
                          <a:noFill/>
                          <a:ln>
                            <a:noFill/>
                          </a:ln>
                        </pic:spPr>
                      </pic:pic>
                    </a:graphicData>
                  </a:graphic>
                </wp:inline>
              </w:drawing>
            </w:r>
          </w:p>
        </w:tc>
        <w:tc>
          <w:tcPr>
            <w:tcW w:w="5669" w:type="dxa"/>
          </w:tcPr>
          <w:p w:rsidR="001076D5" w:rsidRPr="001076D5" w:rsidRDefault="001076D5" w:rsidP="001076D5">
            <w:pPr>
              <w:jc w:val="center"/>
              <w:rPr>
                <w:rFonts w:ascii="Calibri" w:hAnsi="Calibri"/>
                <w:b/>
                <w:bCs/>
                <w:lang w:val="en-US"/>
              </w:rPr>
            </w:pPr>
          </w:p>
          <w:p w:rsidR="001076D5" w:rsidRPr="001076D5" w:rsidRDefault="001076D5" w:rsidP="001076D5">
            <w:pPr>
              <w:jc w:val="center"/>
              <w:rPr>
                <w:rFonts w:ascii="Calibri" w:hAnsi="Calibri"/>
                <w:b/>
                <w:bCs/>
                <w:lang w:val="en-US"/>
              </w:rPr>
            </w:pPr>
          </w:p>
          <w:p w:rsidR="001076D5" w:rsidRPr="001076D5" w:rsidRDefault="001076D5" w:rsidP="001076D5">
            <w:pPr>
              <w:jc w:val="center"/>
              <w:rPr>
                <w:rFonts w:ascii="Calibri" w:hAnsi="Calibri"/>
                <w:b/>
                <w:bCs/>
                <w:lang w:val="en-US"/>
              </w:rPr>
            </w:pPr>
          </w:p>
          <w:p w:rsidR="001076D5" w:rsidRPr="001076D5" w:rsidRDefault="001076D5" w:rsidP="001076D5">
            <w:pPr>
              <w:jc w:val="center"/>
              <w:rPr>
                <w:rFonts w:ascii="Calibri" w:hAnsi="Calibri"/>
                <w:b/>
                <w:bCs/>
                <w:lang w:val="en-US"/>
              </w:rPr>
            </w:pPr>
          </w:p>
          <w:p w:rsidR="001076D5" w:rsidRPr="001076D5" w:rsidRDefault="001076D5" w:rsidP="001076D5">
            <w:pPr>
              <w:jc w:val="center"/>
              <w:rPr>
                <w:rFonts w:ascii="Calibri" w:hAnsi="Calibri"/>
                <w:b/>
                <w:bCs/>
                <w:lang w:val="en-US"/>
              </w:rPr>
            </w:pPr>
          </w:p>
          <w:p w:rsidR="001076D5" w:rsidRPr="00414CEF" w:rsidRDefault="001076D5" w:rsidP="001076D5">
            <w:pPr>
              <w:jc w:val="center"/>
              <w:rPr>
                <w:rFonts w:ascii="Calibri" w:hAnsi="Calibri"/>
                <w:b/>
                <w:bCs/>
                <w:sz w:val="24"/>
                <w:szCs w:val="24"/>
                <w:lang w:val="en-US"/>
              </w:rPr>
            </w:pPr>
            <w:hyperlink r:id="rId6" w:tgtFrame="_blank" w:history="1">
              <w:r w:rsidRPr="00414CEF">
                <w:rPr>
                  <w:rStyle w:val="Hyperlink"/>
                  <w:rFonts w:ascii="Calibri" w:hAnsi="Calibri"/>
                  <w:b/>
                  <w:bCs/>
                  <w:color w:val="auto"/>
                  <w:sz w:val="24"/>
                  <w:szCs w:val="24"/>
                  <w:u w:val="none"/>
                  <w:lang w:val="en-029"/>
                </w:rPr>
                <w:t>International Year of Family Farming</w:t>
              </w:r>
            </w:hyperlink>
            <w:r w:rsidRPr="00414CEF">
              <w:rPr>
                <w:rFonts w:ascii="Calibri" w:hAnsi="Calibri"/>
                <w:b/>
                <w:bCs/>
                <w:sz w:val="24"/>
                <w:szCs w:val="24"/>
                <w:lang w:val="en-029"/>
              </w:rPr>
              <w:t xml:space="preserve"> in the Caribbean</w:t>
            </w:r>
          </w:p>
        </w:tc>
        <w:tc>
          <w:tcPr>
            <w:tcW w:w="1808" w:type="dxa"/>
          </w:tcPr>
          <w:p w:rsidR="001076D5" w:rsidRPr="001076D5" w:rsidRDefault="001076D5" w:rsidP="001076D5">
            <w:pPr>
              <w:jc w:val="center"/>
              <w:rPr>
                <w:rFonts w:ascii="Calibri" w:hAnsi="Calibri"/>
                <w:lang w:val="en-US"/>
              </w:rPr>
            </w:pPr>
            <w:r w:rsidRPr="001076D5">
              <w:rPr>
                <w:rFonts w:ascii="Calibri" w:eastAsia="Times New Roman" w:hAnsi="Calibri" w:cs="Arial"/>
                <w:noProof/>
                <w:color w:val="0000FF"/>
                <w:lang w:eastAsia="zh-CN" w:bidi="mn-Mong-CN"/>
              </w:rPr>
              <w:drawing>
                <wp:inline distT="0" distB="0" distL="0" distR="0">
                  <wp:extent cx="1163574" cy="1414272"/>
                  <wp:effectExtent l="19050" t="0" r="0" b="0"/>
                  <wp:docPr id="2" name="Picture 1" descr="https://encrypted-tbn2.gstatic.com/images?q=tbn:ANd9GcT3__5Xrt_zC_kI24XRnS3w5qTB8ISstv_8sWzFeveiv2iz3vktO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3__5Xrt_zC_kI24XRnS3w5qTB8ISstv_8sWzFeveiv2iz3vktOg">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485" cy="1412948"/>
                          </a:xfrm>
                          <a:prstGeom prst="rect">
                            <a:avLst/>
                          </a:prstGeom>
                          <a:noFill/>
                          <a:ln>
                            <a:noFill/>
                          </a:ln>
                        </pic:spPr>
                      </pic:pic>
                    </a:graphicData>
                  </a:graphic>
                </wp:inline>
              </w:drawing>
            </w:r>
          </w:p>
        </w:tc>
      </w:tr>
    </w:tbl>
    <w:p w:rsidR="002D41C7" w:rsidRDefault="002D41C7" w:rsidP="002D41C7">
      <w:pPr>
        <w:spacing w:before="100" w:beforeAutospacing="1" w:after="100" w:afterAutospacing="1" w:line="255" w:lineRule="atLeast"/>
        <w:jc w:val="center"/>
        <w:rPr>
          <w:rFonts w:ascii="Calibri" w:hAnsi="Calibri"/>
          <w:lang w:val="en-US"/>
        </w:rPr>
      </w:pPr>
      <w:r>
        <w:rPr>
          <w:noProof/>
          <w:color w:val="1F497D"/>
          <w:lang w:val="en-US" w:eastAsia="zh-CN" w:bidi="mn-Mong-CN"/>
        </w:rPr>
        <w:drawing>
          <wp:inline distT="0" distB="0" distL="0" distR="0">
            <wp:extent cx="2222668" cy="2038350"/>
            <wp:effectExtent l="19050" t="0" r="6182" b="0"/>
            <wp:docPr id="3" name="Picture 2" descr="cid:image001.jpg@01CF15EF.145D9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CF15EF.145D9C80"/>
                    <pic:cNvPicPr>
                      <a:picLocks noChangeAspect="1" noChangeArrowheads="1"/>
                    </pic:cNvPicPr>
                  </pic:nvPicPr>
                  <pic:blipFill>
                    <a:blip r:embed="rId9" r:link="rId10" cstate="print"/>
                    <a:srcRect/>
                    <a:stretch>
                      <a:fillRect/>
                    </a:stretch>
                  </pic:blipFill>
                  <pic:spPr bwMode="auto">
                    <a:xfrm>
                      <a:off x="0" y="0"/>
                      <a:ext cx="2226968" cy="2042293"/>
                    </a:xfrm>
                    <a:prstGeom prst="rect">
                      <a:avLst/>
                    </a:prstGeom>
                    <a:noFill/>
                    <a:ln w="9525">
                      <a:noFill/>
                      <a:miter lim="800000"/>
                      <a:headEnd/>
                      <a:tailEnd/>
                    </a:ln>
                  </pic:spPr>
                </pic:pic>
              </a:graphicData>
            </a:graphic>
          </wp:inline>
        </w:drawing>
      </w:r>
    </w:p>
    <w:p w:rsidR="001076D5" w:rsidRPr="001076D5" w:rsidRDefault="001076D5" w:rsidP="00414CEF">
      <w:pPr>
        <w:spacing w:before="100" w:beforeAutospacing="1" w:after="100" w:afterAutospacing="1" w:line="255" w:lineRule="atLeast"/>
        <w:jc w:val="both"/>
        <w:rPr>
          <w:rFonts w:ascii="Calibri" w:hAnsi="Calibri"/>
          <w:lang w:val="en-029"/>
        </w:rPr>
      </w:pPr>
      <w:r w:rsidRPr="001076D5">
        <w:rPr>
          <w:rFonts w:ascii="Calibri" w:hAnsi="Calibri"/>
          <w:lang w:val="en-029"/>
        </w:rPr>
        <w:t xml:space="preserve">The United Nations has named 2014 as the International Year of Family Farming (IYFF). This theme provides an opportunity for Caribbean governments, institutions, organizations, and communities to highlight the important role that family farmers play in feeding their nations and contributing to the economic development of their countries.  </w:t>
      </w:r>
    </w:p>
    <w:p w:rsidR="001076D5" w:rsidRPr="001076D5" w:rsidRDefault="001076D5" w:rsidP="00414CEF">
      <w:pPr>
        <w:pStyle w:val="Default"/>
        <w:jc w:val="both"/>
        <w:rPr>
          <w:rFonts w:ascii="Calibri" w:hAnsi="Calibri" w:cs="Times New Roman"/>
          <w:lang w:val="en-029"/>
        </w:rPr>
      </w:pPr>
      <w:r w:rsidRPr="001076D5">
        <w:rPr>
          <w:rFonts w:ascii="Calibri" w:hAnsi="Calibri" w:cs="Times New Roman"/>
          <w:lang w:val="en-029"/>
        </w:rPr>
        <w:t>Globally, two major farming structures are generally identified: (</w:t>
      </w:r>
      <w:proofErr w:type="spellStart"/>
      <w:r w:rsidRPr="001076D5">
        <w:rPr>
          <w:rFonts w:ascii="Calibri" w:hAnsi="Calibri" w:cs="Times New Roman"/>
          <w:lang w:val="en-029"/>
        </w:rPr>
        <w:t>i</w:t>
      </w:r>
      <w:proofErr w:type="spellEnd"/>
      <w:r w:rsidRPr="001076D5">
        <w:rPr>
          <w:rFonts w:ascii="Calibri" w:hAnsi="Calibri" w:cs="Times New Roman"/>
          <w:lang w:val="en-029"/>
        </w:rPr>
        <w:t>) large-scale commercial agriculture, and (ii) small-scale production or “family farming”.  For the United Nations Food and Agriculture Organization (FAO), family farming is understood to include crop, livestock, forestry, fishery and aquaculture producers who have the following characteristics: l</w:t>
      </w:r>
      <w:r w:rsidRPr="001076D5">
        <w:rPr>
          <w:rFonts w:ascii="Calibri" w:hAnsi="Calibri" w:cs="Times New Roman"/>
          <w:iCs/>
          <w:lang w:val="en-029"/>
        </w:rPr>
        <w:t xml:space="preserve">imited access to land and capital resources; </w:t>
      </w:r>
      <w:r w:rsidRPr="001076D5">
        <w:rPr>
          <w:rFonts w:ascii="Calibri" w:hAnsi="Calibri" w:cs="Times New Roman"/>
          <w:lang w:val="en-029"/>
        </w:rPr>
        <w:t>use p</w:t>
      </w:r>
      <w:r w:rsidRPr="001076D5">
        <w:rPr>
          <w:rFonts w:ascii="Calibri" w:hAnsi="Calibri" w:cs="Times New Roman"/>
          <w:iCs/>
          <w:lang w:val="en-029"/>
        </w:rPr>
        <w:t xml:space="preserve">redominantly family labour with the head of the household participating directly in the production process; and the family farm activity is the main source of income for the family.  </w:t>
      </w:r>
    </w:p>
    <w:p w:rsidR="001076D5" w:rsidRPr="001076D5" w:rsidRDefault="001076D5" w:rsidP="00414CEF">
      <w:pPr>
        <w:pStyle w:val="Default"/>
        <w:jc w:val="both"/>
        <w:rPr>
          <w:rFonts w:ascii="Calibri" w:hAnsi="Calibri" w:cs="Times New Roman"/>
          <w:color w:val="auto"/>
          <w:lang w:val="en-029"/>
        </w:rPr>
      </w:pPr>
    </w:p>
    <w:p w:rsidR="001076D5" w:rsidRPr="001076D5" w:rsidRDefault="001076D5" w:rsidP="00414CEF">
      <w:pPr>
        <w:pStyle w:val="Default"/>
        <w:jc w:val="both"/>
        <w:rPr>
          <w:rFonts w:ascii="Calibri" w:hAnsi="Calibri" w:cs="Times New Roman"/>
          <w:color w:val="auto"/>
          <w:lang w:val="en-029"/>
        </w:rPr>
      </w:pPr>
      <w:r w:rsidRPr="001076D5">
        <w:rPr>
          <w:rFonts w:ascii="Calibri" w:hAnsi="Calibri" w:cs="Times New Roman"/>
          <w:color w:val="auto"/>
          <w:lang w:val="en-029"/>
        </w:rPr>
        <w:t xml:space="preserve">In developed and developing countries alike, family farms are the main producers of food consumed locally and are the most important contributors to food security. </w:t>
      </w:r>
    </w:p>
    <w:p w:rsidR="001076D5" w:rsidRPr="001076D5" w:rsidRDefault="001076D5" w:rsidP="00414CEF">
      <w:pPr>
        <w:pStyle w:val="Default"/>
        <w:jc w:val="both"/>
        <w:rPr>
          <w:rFonts w:ascii="Calibri" w:hAnsi="Calibri" w:cs="Times New Roman"/>
          <w:color w:val="auto"/>
          <w:lang w:val="en-029"/>
        </w:rPr>
      </w:pPr>
    </w:p>
    <w:p w:rsidR="001076D5" w:rsidRPr="001076D5" w:rsidRDefault="001076D5" w:rsidP="00414CEF">
      <w:pPr>
        <w:pStyle w:val="Default"/>
        <w:jc w:val="both"/>
        <w:rPr>
          <w:rFonts w:ascii="Calibri" w:hAnsi="Calibri" w:cs="Times New Roman"/>
          <w:color w:val="auto"/>
          <w:lang w:val="en-029" w:eastAsia="es-CL"/>
        </w:rPr>
      </w:pPr>
      <w:r w:rsidRPr="001076D5">
        <w:rPr>
          <w:rFonts w:ascii="Calibri" w:hAnsi="Calibri" w:cs="Times New Roman"/>
          <w:color w:val="auto"/>
          <w:lang w:val="en-029"/>
        </w:rPr>
        <w:t xml:space="preserve">In Latin America and the Caribbean, family farming </w:t>
      </w:r>
      <w:r w:rsidRPr="001076D5">
        <w:rPr>
          <w:rFonts w:ascii="Calibri" w:hAnsi="Calibri" w:cs="Times New Roman"/>
          <w:lang w:val="en-029"/>
        </w:rPr>
        <w:t>accounts for more than 80% of agricultural production and generates more than 50% of agricultural employment.  In addition to being a major supplier of food and employment opportunities, family farms serve as  social safety nets, preserve and enhance the culture, skills and traditions of local communities, and contribute to the conservation of plant and animal species.</w:t>
      </w:r>
      <w:r w:rsidRPr="001076D5">
        <w:rPr>
          <w:rFonts w:ascii="Calibri" w:hAnsi="Calibri" w:cs="Times New Roman"/>
          <w:color w:val="auto"/>
          <w:lang w:val="en-029" w:eastAsia="es-CL"/>
        </w:rPr>
        <w:t xml:space="preserve"> </w:t>
      </w:r>
    </w:p>
    <w:p w:rsidR="001076D5" w:rsidRPr="001076D5" w:rsidRDefault="001076D5" w:rsidP="00414CEF">
      <w:pPr>
        <w:pStyle w:val="Default"/>
        <w:jc w:val="both"/>
        <w:rPr>
          <w:rFonts w:ascii="Calibri" w:hAnsi="Calibri" w:cs="Times New Roman"/>
          <w:color w:val="auto"/>
          <w:lang w:val="en-029"/>
        </w:rPr>
      </w:pPr>
    </w:p>
    <w:p w:rsidR="001076D5" w:rsidRPr="001076D5" w:rsidRDefault="001076D5" w:rsidP="00414CEF">
      <w:pPr>
        <w:pStyle w:val="Default"/>
        <w:jc w:val="both"/>
        <w:rPr>
          <w:rFonts w:ascii="Calibri" w:hAnsi="Calibri" w:cs="Times New Roman"/>
          <w:color w:val="auto"/>
          <w:lang w:val="en-029"/>
        </w:rPr>
      </w:pPr>
      <w:r w:rsidRPr="001076D5">
        <w:rPr>
          <w:rFonts w:ascii="Calibri" w:hAnsi="Calibri" w:cs="Times New Roman"/>
          <w:color w:val="auto"/>
          <w:lang w:val="en-029"/>
        </w:rPr>
        <w:t xml:space="preserve">In the framework of the UN declaration of 2014 as the International Year of Family Farming (IYFF), the FAO, in collaboration with the World Rural Forum (WRF), the International Cooperative Alliance (ICA) and the World Farmers’ Organisation (WFO), held the first </w:t>
      </w:r>
      <w:r w:rsidRPr="001076D5">
        <w:rPr>
          <w:rFonts w:ascii="Calibri" w:hAnsi="Calibri" w:cs="Times New Roman"/>
          <w:i/>
          <w:color w:val="auto"/>
          <w:lang w:val="en-029"/>
        </w:rPr>
        <w:t>Regional Dialogue on Family Farming in Latin America and the Caribbean</w:t>
      </w:r>
      <w:r w:rsidRPr="001076D5">
        <w:rPr>
          <w:rFonts w:ascii="Calibri" w:hAnsi="Calibri" w:cs="Times New Roman"/>
          <w:color w:val="auto"/>
          <w:lang w:val="en-029"/>
        </w:rPr>
        <w:t xml:space="preserve"> in Santiago, Chile, on October 30-31, 2013. The objective was to improve the understanding of the role of </w:t>
      </w:r>
      <w:r w:rsidRPr="001076D5">
        <w:rPr>
          <w:rFonts w:ascii="Calibri" w:hAnsi="Calibri" w:cs="Times New Roman"/>
          <w:color w:val="auto"/>
          <w:lang w:val="en-029"/>
        </w:rPr>
        <w:lastRenderedPageBreak/>
        <w:t>family farming in each country and sub-region, as well as to define the main regional issues that should be addressed during the IYFF.</w:t>
      </w:r>
    </w:p>
    <w:p w:rsidR="001076D5" w:rsidRPr="001076D5" w:rsidRDefault="001076D5" w:rsidP="00414CEF">
      <w:pPr>
        <w:pStyle w:val="Default"/>
        <w:jc w:val="both"/>
        <w:rPr>
          <w:rFonts w:ascii="Calibri" w:hAnsi="Calibri" w:cs="Times New Roman"/>
          <w:color w:val="auto"/>
          <w:lang w:val="en-029"/>
        </w:rPr>
      </w:pPr>
    </w:p>
    <w:p w:rsidR="001076D5" w:rsidRPr="001076D5" w:rsidRDefault="001076D5" w:rsidP="00414CEF">
      <w:pPr>
        <w:autoSpaceDE w:val="0"/>
        <w:autoSpaceDN w:val="0"/>
        <w:adjustRightInd w:val="0"/>
        <w:jc w:val="both"/>
        <w:rPr>
          <w:rFonts w:ascii="Calibri" w:hAnsi="Calibri"/>
        </w:rPr>
      </w:pPr>
      <w:r w:rsidRPr="001076D5">
        <w:rPr>
          <w:rFonts w:ascii="Calibri" w:hAnsi="Calibri"/>
          <w:lang w:val="en-029"/>
        </w:rPr>
        <w:t>Eight agriculturists from the Caribbean attended the Regional Dialogue in Chile and reported that the challenges faced by family farms across the region are very similar. They cited four critical areas that need to be addressed: (</w:t>
      </w:r>
      <w:proofErr w:type="spellStart"/>
      <w:r w:rsidRPr="001076D5">
        <w:rPr>
          <w:rFonts w:ascii="Calibri" w:hAnsi="Calibri"/>
          <w:lang w:val="en-029"/>
        </w:rPr>
        <w:t>i</w:t>
      </w:r>
      <w:proofErr w:type="spellEnd"/>
      <w:r w:rsidRPr="001076D5">
        <w:rPr>
          <w:rFonts w:ascii="Calibri" w:hAnsi="Calibri"/>
          <w:lang w:val="en-029"/>
        </w:rPr>
        <w:t xml:space="preserve">) lack of an institutional framework designed to guide the development of family farming, (ii) lack of appreciation and undervaluing of the contribution of family farming by society and governments, (iii) weak and uncoordinated economic, technology, social and environmental policies supporting family farm development, and (iv) </w:t>
      </w:r>
      <w:r w:rsidRPr="001076D5">
        <w:rPr>
          <w:rFonts w:ascii="Calibri" w:hAnsi="Calibri"/>
        </w:rPr>
        <w:t>lack of public policies to encourage youth and women to remain and work in rural areas.</w:t>
      </w:r>
    </w:p>
    <w:p w:rsidR="001076D5" w:rsidRPr="001076D5" w:rsidRDefault="001076D5" w:rsidP="00414CEF">
      <w:pPr>
        <w:autoSpaceDE w:val="0"/>
        <w:autoSpaceDN w:val="0"/>
        <w:adjustRightInd w:val="0"/>
        <w:jc w:val="both"/>
        <w:rPr>
          <w:rFonts w:ascii="Calibri" w:hAnsi="Calibri"/>
          <w:lang w:val="en-029"/>
        </w:rPr>
      </w:pPr>
      <w:r w:rsidRPr="001076D5">
        <w:rPr>
          <w:rStyle w:val="Hyperlink"/>
          <w:rFonts w:ascii="Calibri" w:hAnsi="Calibri"/>
          <w:color w:val="auto"/>
          <w:u w:val="none"/>
          <w:lang w:val="en-029" w:eastAsia="es-CL"/>
        </w:rPr>
        <w:t xml:space="preserve">On the basis of the results and experience of the </w:t>
      </w:r>
      <w:r w:rsidRPr="001076D5">
        <w:rPr>
          <w:rFonts w:ascii="Calibri" w:hAnsi="Calibri"/>
          <w:lang w:val="en-029"/>
        </w:rPr>
        <w:t xml:space="preserve">Family Farming Dialogue in Chile, </w:t>
      </w:r>
      <w:r w:rsidRPr="001076D5">
        <w:rPr>
          <w:rStyle w:val="Hyperlink"/>
          <w:rFonts w:ascii="Calibri" w:hAnsi="Calibri"/>
          <w:color w:val="auto"/>
          <w:u w:val="none"/>
          <w:lang w:val="en-029" w:eastAsia="es-CL"/>
        </w:rPr>
        <w:t>FAO in collaboration with Caribbean Farmers Network (CAFAN), agreed that</w:t>
      </w:r>
      <w:r w:rsidRPr="001076D5">
        <w:rPr>
          <w:rFonts w:ascii="Calibri" w:hAnsi="Calibri"/>
          <w:lang w:val="en-029"/>
        </w:rPr>
        <w:t xml:space="preserve"> a Caribbean Family Farming working group should be formed to serve as a catalyst </w:t>
      </w:r>
      <w:r w:rsidRPr="001076D5">
        <w:rPr>
          <w:rStyle w:val="Hyperlink"/>
          <w:rFonts w:ascii="Calibri" w:hAnsi="Calibri"/>
          <w:color w:val="auto"/>
          <w:u w:val="none"/>
          <w:lang w:val="en-029" w:eastAsia="es-CL"/>
        </w:rPr>
        <w:t xml:space="preserve">to develop and implement an agenda </w:t>
      </w:r>
      <w:r w:rsidRPr="001076D5">
        <w:rPr>
          <w:rFonts w:ascii="Calibri" w:hAnsi="Calibri"/>
          <w:lang w:val="en-029"/>
        </w:rPr>
        <w:t xml:space="preserve">to promote increased recognition and development of family farms in the Caribbean region. The institutional membership of the working group is: FAO, CAFAN, Inter-American Institute for Cooperation on Agriculture (IICA), Caribbean Agricultural Research and Development Institute (CARDI), The University of the West Indies (UWI), </w:t>
      </w:r>
      <w:r w:rsidRPr="001076D5">
        <w:rPr>
          <w:rFonts w:ascii="Calibri" w:hAnsi="Calibri"/>
          <w:color w:val="000000"/>
        </w:rPr>
        <w:t>Technical Centre for Agricultural and Rural Cooperation ACP-EU (</w:t>
      </w:r>
      <w:r w:rsidRPr="001076D5">
        <w:rPr>
          <w:rFonts w:ascii="Calibri" w:hAnsi="Calibri"/>
          <w:lang w:val="en-029"/>
        </w:rPr>
        <w:t>CTA), and the International Fund for Agricultural Development (IFAD). After two recent meetings of the working group it has been agreed to initiate work in the following five thematic areas: a) Public Policy to support family farming  technology development, extension, and investment; b) Information and Communication systems to facilitate the collection of data and preparation of analysis and publications on family farming; c) Succession planning to promote an increase of youth and women in family farming; d) business and economic planning and analysis for enterprise development; and e) sustainable development of family farms emphasising building resilience and reducing risk.</w:t>
      </w:r>
    </w:p>
    <w:p w:rsidR="001076D5" w:rsidRPr="001076D5" w:rsidDel="005D6583" w:rsidRDefault="001076D5" w:rsidP="00414CEF">
      <w:pPr>
        <w:pStyle w:val="Default"/>
        <w:jc w:val="both"/>
        <w:rPr>
          <w:rFonts w:ascii="Calibri" w:hAnsi="Calibri" w:cs="Times New Roman"/>
          <w:lang w:val="en-US"/>
        </w:rPr>
      </w:pPr>
      <w:r w:rsidRPr="001076D5" w:rsidDel="005D6583">
        <w:rPr>
          <w:rFonts w:ascii="Calibri" w:hAnsi="Calibri" w:cs="Times New Roman"/>
          <w:lang w:val="en-US"/>
        </w:rPr>
        <w:t xml:space="preserve">The small farmer in the Caribbean is most often a male ranging from 41-54 years of age, producing crops using low productivity systems, and farming less than two hectares of land. Produce is marketed through many outlets but mainly in open markets. Small farmers are considered high risk and thus they have limited access to credit. This is reinforced by the fact that many Caribbean farmers do not keep records and as a result they are generally unable to evaluate the financial viability of their enterprises. </w:t>
      </w:r>
    </w:p>
    <w:p w:rsidR="001076D5" w:rsidRPr="001076D5" w:rsidRDefault="001076D5" w:rsidP="00414CEF">
      <w:pPr>
        <w:pStyle w:val="NormalWeb"/>
        <w:jc w:val="both"/>
        <w:rPr>
          <w:rFonts w:ascii="Calibri" w:hAnsi="Calibri"/>
          <w:lang w:val="en-029"/>
        </w:rPr>
      </w:pPr>
      <w:r w:rsidRPr="001076D5">
        <w:rPr>
          <w:rFonts w:ascii="Calibri" w:hAnsi="Calibri"/>
          <w:lang w:val="en-029"/>
        </w:rPr>
        <w:t>The Caribbean Family Farming working group is committed to the promotion of family farm development. This means implementing actions that enable family farms to increase their adoption of improved systems of production and to have increased access to markets.</w:t>
      </w:r>
    </w:p>
    <w:p w:rsidR="001076D5" w:rsidRPr="001076D5" w:rsidRDefault="001076D5">
      <w:pPr>
        <w:rPr>
          <w:rFonts w:ascii="Calibri" w:hAnsi="Calibri"/>
          <w:lang w:val="en-029"/>
        </w:rPr>
      </w:pPr>
    </w:p>
    <w:sectPr w:rsidR="001076D5" w:rsidRPr="001076D5" w:rsidSect="00BA12BD">
      <w:pgSz w:w="11907" w:h="16840" w:code="9"/>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compat/>
  <w:rsids>
    <w:rsidRoot w:val="001076D5"/>
    <w:rsid w:val="00003433"/>
    <w:rsid w:val="00003D32"/>
    <w:rsid w:val="00005BE7"/>
    <w:rsid w:val="00005F58"/>
    <w:rsid w:val="00007BF1"/>
    <w:rsid w:val="00010515"/>
    <w:rsid w:val="00014962"/>
    <w:rsid w:val="000170F0"/>
    <w:rsid w:val="0001725F"/>
    <w:rsid w:val="00021221"/>
    <w:rsid w:val="000218A4"/>
    <w:rsid w:val="00022010"/>
    <w:rsid w:val="0002413D"/>
    <w:rsid w:val="00025303"/>
    <w:rsid w:val="00026DAF"/>
    <w:rsid w:val="00032368"/>
    <w:rsid w:val="000436AF"/>
    <w:rsid w:val="00046028"/>
    <w:rsid w:val="00050300"/>
    <w:rsid w:val="00051280"/>
    <w:rsid w:val="000518E9"/>
    <w:rsid w:val="00052C75"/>
    <w:rsid w:val="00053F64"/>
    <w:rsid w:val="00054A64"/>
    <w:rsid w:val="00056031"/>
    <w:rsid w:val="00057889"/>
    <w:rsid w:val="00060B71"/>
    <w:rsid w:val="000646CB"/>
    <w:rsid w:val="0006540C"/>
    <w:rsid w:val="000677D6"/>
    <w:rsid w:val="00074D53"/>
    <w:rsid w:val="000803EA"/>
    <w:rsid w:val="00080839"/>
    <w:rsid w:val="00082029"/>
    <w:rsid w:val="00082AA4"/>
    <w:rsid w:val="00090D4A"/>
    <w:rsid w:val="00091344"/>
    <w:rsid w:val="000914BB"/>
    <w:rsid w:val="00091AD7"/>
    <w:rsid w:val="00093D07"/>
    <w:rsid w:val="0009489F"/>
    <w:rsid w:val="00094B7B"/>
    <w:rsid w:val="000950AC"/>
    <w:rsid w:val="00096D75"/>
    <w:rsid w:val="000A0F5F"/>
    <w:rsid w:val="000A2570"/>
    <w:rsid w:val="000B16A7"/>
    <w:rsid w:val="000B4B7A"/>
    <w:rsid w:val="000B58A7"/>
    <w:rsid w:val="000B647E"/>
    <w:rsid w:val="000B6BA7"/>
    <w:rsid w:val="000C1D95"/>
    <w:rsid w:val="000C343B"/>
    <w:rsid w:val="000C4A7B"/>
    <w:rsid w:val="000C5AC4"/>
    <w:rsid w:val="000D05D0"/>
    <w:rsid w:val="000D1A1F"/>
    <w:rsid w:val="000D50F0"/>
    <w:rsid w:val="000D78FD"/>
    <w:rsid w:val="000E55CB"/>
    <w:rsid w:val="000E651D"/>
    <w:rsid w:val="000F1C79"/>
    <w:rsid w:val="000F3EA0"/>
    <w:rsid w:val="000F4DF9"/>
    <w:rsid w:val="000F6C05"/>
    <w:rsid w:val="00100EEA"/>
    <w:rsid w:val="00106D92"/>
    <w:rsid w:val="001076D5"/>
    <w:rsid w:val="0011486E"/>
    <w:rsid w:val="0011546B"/>
    <w:rsid w:val="00120A43"/>
    <w:rsid w:val="00121464"/>
    <w:rsid w:val="00121A08"/>
    <w:rsid w:val="001237D4"/>
    <w:rsid w:val="00125CB0"/>
    <w:rsid w:val="00127CB0"/>
    <w:rsid w:val="00127F86"/>
    <w:rsid w:val="0013180D"/>
    <w:rsid w:val="001343E4"/>
    <w:rsid w:val="00136ABB"/>
    <w:rsid w:val="00141FCE"/>
    <w:rsid w:val="00144476"/>
    <w:rsid w:val="0014468B"/>
    <w:rsid w:val="00150183"/>
    <w:rsid w:val="00150A8D"/>
    <w:rsid w:val="00154AF7"/>
    <w:rsid w:val="00160721"/>
    <w:rsid w:val="00161D0F"/>
    <w:rsid w:val="00162470"/>
    <w:rsid w:val="00163D3A"/>
    <w:rsid w:val="001645E2"/>
    <w:rsid w:val="00165A9D"/>
    <w:rsid w:val="001702D5"/>
    <w:rsid w:val="00172F2A"/>
    <w:rsid w:val="001740F4"/>
    <w:rsid w:val="001746C6"/>
    <w:rsid w:val="00174F11"/>
    <w:rsid w:val="00175B48"/>
    <w:rsid w:val="00177F1D"/>
    <w:rsid w:val="00180515"/>
    <w:rsid w:val="00180CB7"/>
    <w:rsid w:val="0018727F"/>
    <w:rsid w:val="00196A7C"/>
    <w:rsid w:val="00197344"/>
    <w:rsid w:val="00197EE2"/>
    <w:rsid w:val="001A04D5"/>
    <w:rsid w:val="001A1369"/>
    <w:rsid w:val="001A1F93"/>
    <w:rsid w:val="001A4D38"/>
    <w:rsid w:val="001A691B"/>
    <w:rsid w:val="001A7B7F"/>
    <w:rsid w:val="001B364D"/>
    <w:rsid w:val="001B3BD8"/>
    <w:rsid w:val="001B5EBD"/>
    <w:rsid w:val="001C1653"/>
    <w:rsid w:val="001C1747"/>
    <w:rsid w:val="001C213E"/>
    <w:rsid w:val="001C344E"/>
    <w:rsid w:val="001C6343"/>
    <w:rsid w:val="001C76FD"/>
    <w:rsid w:val="001D1986"/>
    <w:rsid w:val="001D6196"/>
    <w:rsid w:val="001D6729"/>
    <w:rsid w:val="001D6E3C"/>
    <w:rsid w:val="001E0CFD"/>
    <w:rsid w:val="001F2046"/>
    <w:rsid w:val="001F219E"/>
    <w:rsid w:val="001F7418"/>
    <w:rsid w:val="00200664"/>
    <w:rsid w:val="00210D4D"/>
    <w:rsid w:val="002124AD"/>
    <w:rsid w:val="00213D84"/>
    <w:rsid w:val="00213F98"/>
    <w:rsid w:val="002159BE"/>
    <w:rsid w:val="002160BA"/>
    <w:rsid w:val="00222101"/>
    <w:rsid w:val="0022226C"/>
    <w:rsid w:val="00230732"/>
    <w:rsid w:val="002311D2"/>
    <w:rsid w:val="00231767"/>
    <w:rsid w:val="002365C1"/>
    <w:rsid w:val="00242046"/>
    <w:rsid w:val="0024218D"/>
    <w:rsid w:val="00242794"/>
    <w:rsid w:val="00243457"/>
    <w:rsid w:val="0025471C"/>
    <w:rsid w:val="00255E9D"/>
    <w:rsid w:val="00260129"/>
    <w:rsid w:val="00260D01"/>
    <w:rsid w:val="0027014D"/>
    <w:rsid w:val="00270D7C"/>
    <w:rsid w:val="00271794"/>
    <w:rsid w:val="00274ED5"/>
    <w:rsid w:val="00276BF5"/>
    <w:rsid w:val="00276F57"/>
    <w:rsid w:val="00280DD8"/>
    <w:rsid w:val="00281C47"/>
    <w:rsid w:val="00282083"/>
    <w:rsid w:val="00284133"/>
    <w:rsid w:val="00284347"/>
    <w:rsid w:val="00284376"/>
    <w:rsid w:val="0028558A"/>
    <w:rsid w:val="00290B07"/>
    <w:rsid w:val="002966DE"/>
    <w:rsid w:val="002967BD"/>
    <w:rsid w:val="002A034A"/>
    <w:rsid w:val="002A16F0"/>
    <w:rsid w:val="002A2376"/>
    <w:rsid w:val="002A250A"/>
    <w:rsid w:val="002A374B"/>
    <w:rsid w:val="002A392F"/>
    <w:rsid w:val="002A5A07"/>
    <w:rsid w:val="002A7BEE"/>
    <w:rsid w:val="002B0BFA"/>
    <w:rsid w:val="002B2995"/>
    <w:rsid w:val="002B29BD"/>
    <w:rsid w:val="002B5950"/>
    <w:rsid w:val="002C22E6"/>
    <w:rsid w:val="002C36D9"/>
    <w:rsid w:val="002D3099"/>
    <w:rsid w:val="002D41C7"/>
    <w:rsid w:val="002E2C7E"/>
    <w:rsid w:val="002E312C"/>
    <w:rsid w:val="002E6D19"/>
    <w:rsid w:val="002E6F93"/>
    <w:rsid w:val="002F0B31"/>
    <w:rsid w:val="002F1227"/>
    <w:rsid w:val="002F2BE0"/>
    <w:rsid w:val="002F6395"/>
    <w:rsid w:val="0030080C"/>
    <w:rsid w:val="00303446"/>
    <w:rsid w:val="00305FBE"/>
    <w:rsid w:val="0031489C"/>
    <w:rsid w:val="003160D0"/>
    <w:rsid w:val="00316BDE"/>
    <w:rsid w:val="003177BC"/>
    <w:rsid w:val="003213A5"/>
    <w:rsid w:val="00323666"/>
    <w:rsid w:val="00324E02"/>
    <w:rsid w:val="00326C25"/>
    <w:rsid w:val="003306D6"/>
    <w:rsid w:val="003335B2"/>
    <w:rsid w:val="00334A22"/>
    <w:rsid w:val="00335701"/>
    <w:rsid w:val="00341277"/>
    <w:rsid w:val="00343917"/>
    <w:rsid w:val="0034405E"/>
    <w:rsid w:val="00345B79"/>
    <w:rsid w:val="0035622D"/>
    <w:rsid w:val="003668CB"/>
    <w:rsid w:val="00372393"/>
    <w:rsid w:val="00372697"/>
    <w:rsid w:val="003744BD"/>
    <w:rsid w:val="00375A25"/>
    <w:rsid w:val="00376761"/>
    <w:rsid w:val="003828B0"/>
    <w:rsid w:val="00384804"/>
    <w:rsid w:val="003902EA"/>
    <w:rsid w:val="00391A3A"/>
    <w:rsid w:val="00393823"/>
    <w:rsid w:val="00396A57"/>
    <w:rsid w:val="003972B5"/>
    <w:rsid w:val="00397AB6"/>
    <w:rsid w:val="003A4A09"/>
    <w:rsid w:val="003A6111"/>
    <w:rsid w:val="003A75C1"/>
    <w:rsid w:val="003B20C0"/>
    <w:rsid w:val="003B4FD7"/>
    <w:rsid w:val="003B5E6D"/>
    <w:rsid w:val="003B6E6A"/>
    <w:rsid w:val="003C1393"/>
    <w:rsid w:val="003C1A4E"/>
    <w:rsid w:val="003C78A3"/>
    <w:rsid w:val="003D32FA"/>
    <w:rsid w:val="003D3447"/>
    <w:rsid w:val="003D4172"/>
    <w:rsid w:val="003D4446"/>
    <w:rsid w:val="003D5281"/>
    <w:rsid w:val="003D6212"/>
    <w:rsid w:val="003D6404"/>
    <w:rsid w:val="003D7002"/>
    <w:rsid w:val="003E0B7E"/>
    <w:rsid w:val="003E0CE7"/>
    <w:rsid w:val="003E4D2E"/>
    <w:rsid w:val="003E68F6"/>
    <w:rsid w:val="003F1F6F"/>
    <w:rsid w:val="003F4ECB"/>
    <w:rsid w:val="00402462"/>
    <w:rsid w:val="00402DC3"/>
    <w:rsid w:val="004114D2"/>
    <w:rsid w:val="00412A98"/>
    <w:rsid w:val="00414CEF"/>
    <w:rsid w:val="00415AA8"/>
    <w:rsid w:val="00415C7F"/>
    <w:rsid w:val="00416456"/>
    <w:rsid w:val="004173BF"/>
    <w:rsid w:val="004216E0"/>
    <w:rsid w:val="00421E8B"/>
    <w:rsid w:val="004245D2"/>
    <w:rsid w:val="004247A1"/>
    <w:rsid w:val="00425B4C"/>
    <w:rsid w:val="0043017E"/>
    <w:rsid w:val="004303F7"/>
    <w:rsid w:val="00431316"/>
    <w:rsid w:val="00433ECC"/>
    <w:rsid w:val="00434AC0"/>
    <w:rsid w:val="004434F5"/>
    <w:rsid w:val="00446E99"/>
    <w:rsid w:val="0045059C"/>
    <w:rsid w:val="00451E7E"/>
    <w:rsid w:val="00452921"/>
    <w:rsid w:val="00461A83"/>
    <w:rsid w:val="00462060"/>
    <w:rsid w:val="00463B27"/>
    <w:rsid w:val="004644E3"/>
    <w:rsid w:val="00471BFA"/>
    <w:rsid w:val="004731A2"/>
    <w:rsid w:val="004760CD"/>
    <w:rsid w:val="00476206"/>
    <w:rsid w:val="00477F40"/>
    <w:rsid w:val="004805B4"/>
    <w:rsid w:val="00480809"/>
    <w:rsid w:val="00482745"/>
    <w:rsid w:val="00485D8E"/>
    <w:rsid w:val="00486A39"/>
    <w:rsid w:val="00490D1E"/>
    <w:rsid w:val="00491527"/>
    <w:rsid w:val="0049261A"/>
    <w:rsid w:val="004954DB"/>
    <w:rsid w:val="004971D2"/>
    <w:rsid w:val="004A43CD"/>
    <w:rsid w:val="004B16B1"/>
    <w:rsid w:val="004B5DF5"/>
    <w:rsid w:val="004C3A2C"/>
    <w:rsid w:val="004C4856"/>
    <w:rsid w:val="004C4963"/>
    <w:rsid w:val="004C5BD6"/>
    <w:rsid w:val="004D03D9"/>
    <w:rsid w:val="004D1D11"/>
    <w:rsid w:val="004D525F"/>
    <w:rsid w:val="004D6062"/>
    <w:rsid w:val="004D78EE"/>
    <w:rsid w:val="004E23D5"/>
    <w:rsid w:val="004E25C6"/>
    <w:rsid w:val="004E622E"/>
    <w:rsid w:val="004E69C2"/>
    <w:rsid w:val="004F1E2C"/>
    <w:rsid w:val="004F2CE0"/>
    <w:rsid w:val="004F5A61"/>
    <w:rsid w:val="004F7F51"/>
    <w:rsid w:val="00501998"/>
    <w:rsid w:val="005047D6"/>
    <w:rsid w:val="0051170A"/>
    <w:rsid w:val="00511CA7"/>
    <w:rsid w:val="00514F1B"/>
    <w:rsid w:val="00516C85"/>
    <w:rsid w:val="0051761A"/>
    <w:rsid w:val="005212EF"/>
    <w:rsid w:val="00524315"/>
    <w:rsid w:val="00531273"/>
    <w:rsid w:val="00532005"/>
    <w:rsid w:val="00533C2F"/>
    <w:rsid w:val="005343C8"/>
    <w:rsid w:val="00534773"/>
    <w:rsid w:val="0053606E"/>
    <w:rsid w:val="00553717"/>
    <w:rsid w:val="00554569"/>
    <w:rsid w:val="00555554"/>
    <w:rsid w:val="0055576B"/>
    <w:rsid w:val="005611F2"/>
    <w:rsid w:val="00563082"/>
    <w:rsid w:val="00564263"/>
    <w:rsid w:val="00565690"/>
    <w:rsid w:val="005668D6"/>
    <w:rsid w:val="00567429"/>
    <w:rsid w:val="005720C5"/>
    <w:rsid w:val="005732D2"/>
    <w:rsid w:val="00582AE6"/>
    <w:rsid w:val="0058454E"/>
    <w:rsid w:val="00585B65"/>
    <w:rsid w:val="00586343"/>
    <w:rsid w:val="005872C9"/>
    <w:rsid w:val="005951BF"/>
    <w:rsid w:val="00595684"/>
    <w:rsid w:val="0059607D"/>
    <w:rsid w:val="005967F8"/>
    <w:rsid w:val="00596BA3"/>
    <w:rsid w:val="005A000C"/>
    <w:rsid w:val="005A2F9A"/>
    <w:rsid w:val="005A3345"/>
    <w:rsid w:val="005A6B41"/>
    <w:rsid w:val="005B1B02"/>
    <w:rsid w:val="005B6D4D"/>
    <w:rsid w:val="005C0E31"/>
    <w:rsid w:val="005D219B"/>
    <w:rsid w:val="005D788B"/>
    <w:rsid w:val="005E2559"/>
    <w:rsid w:val="005F02F6"/>
    <w:rsid w:val="005F084C"/>
    <w:rsid w:val="005F1E70"/>
    <w:rsid w:val="005F33BB"/>
    <w:rsid w:val="005F34EC"/>
    <w:rsid w:val="005F39CA"/>
    <w:rsid w:val="005F3D8B"/>
    <w:rsid w:val="00606A0B"/>
    <w:rsid w:val="006073AE"/>
    <w:rsid w:val="0060794A"/>
    <w:rsid w:val="00614E60"/>
    <w:rsid w:val="0063552E"/>
    <w:rsid w:val="00636784"/>
    <w:rsid w:val="00636910"/>
    <w:rsid w:val="006433B3"/>
    <w:rsid w:val="006437C7"/>
    <w:rsid w:val="00650FCE"/>
    <w:rsid w:val="006531C1"/>
    <w:rsid w:val="00655608"/>
    <w:rsid w:val="00661D9E"/>
    <w:rsid w:val="00663B8A"/>
    <w:rsid w:val="00664958"/>
    <w:rsid w:val="006649E1"/>
    <w:rsid w:val="00664BF0"/>
    <w:rsid w:val="00665C5B"/>
    <w:rsid w:val="0066773A"/>
    <w:rsid w:val="00670E85"/>
    <w:rsid w:val="00671275"/>
    <w:rsid w:val="00671536"/>
    <w:rsid w:val="0067194F"/>
    <w:rsid w:val="0067440E"/>
    <w:rsid w:val="00675C51"/>
    <w:rsid w:val="00680C2E"/>
    <w:rsid w:val="006844CA"/>
    <w:rsid w:val="00685089"/>
    <w:rsid w:val="00685203"/>
    <w:rsid w:val="00686D0B"/>
    <w:rsid w:val="0068718C"/>
    <w:rsid w:val="00687BB0"/>
    <w:rsid w:val="006949EE"/>
    <w:rsid w:val="00696816"/>
    <w:rsid w:val="006A22C5"/>
    <w:rsid w:val="006A288F"/>
    <w:rsid w:val="006A3E83"/>
    <w:rsid w:val="006A4DA9"/>
    <w:rsid w:val="006A7C47"/>
    <w:rsid w:val="006A7E8D"/>
    <w:rsid w:val="006A7F5E"/>
    <w:rsid w:val="006B52BD"/>
    <w:rsid w:val="006B7342"/>
    <w:rsid w:val="006C4261"/>
    <w:rsid w:val="006D52CA"/>
    <w:rsid w:val="006D6962"/>
    <w:rsid w:val="006D7F91"/>
    <w:rsid w:val="006E186B"/>
    <w:rsid w:val="006E6B8E"/>
    <w:rsid w:val="006F0A6E"/>
    <w:rsid w:val="00701DF1"/>
    <w:rsid w:val="00703265"/>
    <w:rsid w:val="00711E46"/>
    <w:rsid w:val="00717B18"/>
    <w:rsid w:val="00717EFA"/>
    <w:rsid w:val="0072541D"/>
    <w:rsid w:val="007265A4"/>
    <w:rsid w:val="0073199A"/>
    <w:rsid w:val="00732060"/>
    <w:rsid w:val="007320A5"/>
    <w:rsid w:val="00733326"/>
    <w:rsid w:val="007337C1"/>
    <w:rsid w:val="00733BCA"/>
    <w:rsid w:val="007345DC"/>
    <w:rsid w:val="0073487A"/>
    <w:rsid w:val="00736648"/>
    <w:rsid w:val="007372DB"/>
    <w:rsid w:val="0073766B"/>
    <w:rsid w:val="00742095"/>
    <w:rsid w:val="00742D80"/>
    <w:rsid w:val="0074429C"/>
    <w:rsid w:val="007470A5"/>
    <w:rsid w:val="00747503"/>
    <w:rsid w:val="00747B18"/>
    <w:rsid w:val="007519A2"/>
    <w:rsid w:val="00752B14"/>
    <w:rsid w:val="0075384F"/>
    <w:rsid w:val="00755BC1"/>
    <w:rsid w:val="00755D94"/>
    <w:rsid w:val="007561BE"/>
    <w:rsid w:val="00760CF7"/>
    <w:rsid w:val="007614AF"/>
    <w:rsid w:val="00761D2E"/>
    <w:rsid w:val="00763A77"/>
    <w:rsid w:val="00766436"/>
    <w:rsid w:val="00770A23"/>
    <w:rsid w:val="007743EC"/>
    <w:rsid w:val="0077748D"/>
    <w:rsid w:val="00780E62"/>
    <w:rsid w:val="00781A6D"/>
    <w:rsid w:val="00785DCA"/>
    <w:rsid w:val="00785F35"/>
    <w:rsid w:val="00787ACD"/>
    <w:rsid w:val="0079185F"/>
    <w:rsid w:val="00792843"/>
    <w:rsid w:val="00793BB5"/>
    <w:rsid w:val="00795711"/>
    <w:rsid w:val="00797ECC"/>
    <w:rsid w:val="007A4A1A"/>
    <w:rsid w:val="007B0FAD"/>
    <w:rsid w:val="007B37C0"/>
    <w:rsid w:val="007B3DA3"/>
    <w:rsid w:val="007B439C"/>
    <w:rsid w:val="007C35EA"/>
    <w:rsid w:val="007C77C9"/>
    <w:rsid w:val="007C7ACD"/>
    <w:rsid w:val="007D160B"/>
    <w:rsid w:val="007D3F11"/>
    <w:rsid w:val="007D4C01"/>
    <w:rsid w:val="007D627C"/>
    <w:rsid w:val="007D6841"/>
    <w:rsid w:val="007E06B7"/>
    <w:rsid w:val="007E3369"/>
    <w:rsid w:val="007E37DA"/>
    <w:rsid w:val="007F3095"/>
    <w:rsid w:val="00805E19"/>
    <w:rsid w:val="008063E9"/>
    <w:rsid w:val="00811180"/>
    <w:rsid w:val="00812011"/>
    <w:rsid w:val="00813F05"/>
    <w:rsid w:val="00815A54"/>
    <w:rsid w:val="0081628C"/>
    <w:rsid w:val="008171EB"/>
    <w:rsid w:val="00820E32"/>
    <w:rsid w:val="0082112D"/>
    <w:rsid w:val="00821151"/>
    <w:rsid w:val="00821BF6"/>
    <w:rsid w:val="00827C80"/>
    <w:rsid w:val="008302B1"/>
    <w:rsid w:val="008326F6"/>
    <w:rsid w:val="00841E83"/>
    <w:rsid w:val="008462AD"/>
    <w:rsid w:val="00846330"/>
    <w:rsid w:val="00853183"/>
    <w:rsid w:val="008552A2"/>
    <w:rsid w:val="0085603F"/>
    <w:rsid w:val="00856648"/>
    <w:rsid w:val="00860084"/>
    <w:rsid w:val="00860F4D"/>
    <w:rsid w:val="0086416F"/>
    <w:rsid w:val="00865275"/>
    <w:rsid w:val="00866959"/>
    <w:rsid w:val="00873812"/>
    <w:rsid w:val="00874B44"/>
    <w:rsid w:val="00880755"/>
    <w:rsid w:val="00880DEA"/>
    <w:rsid w:val="0088235C"/>
    <w:rsid w:val="00882856"/>
    <w:rsid w:val="00882B91"/>
    <w:rsid w:val="00883058"/>
    <w:rsid w:val="00884906"/>
    <w:rsid w:val="00884F01"/>
    <w:rsid w:val="00885511"/>
    <w:rsid w:val="00885741"/>
    <w:rsid w:val="008912DC"/>
    <w:rsid w:val="00892D55"/>
    <w:rsid w:val="008A26F6"/>
    <w:rsid w:val="008A43A0"/>
    <w:rsid w:val="008A4D7C"/>
    <w:rsid w:val="008A6806"/>
    <w:rsid w:val="008C205E"/>
    <w:rsid w:val="008C6D85"/>
    <w:rsid w:val="008D7975"/>
    <w:rsid w:val="008E0FB2"/>
    <w:rsid w:val="008E3A2D"/>
    <w:rsid w:val="008E3A6E"/>
    <w:rsid w:val="008E4E73"/>
    <w:rsid w:val="008E53D4"/>
    <w:rsid w:val="008E6CBC"/>
    <w:rsid w:val="008F3BCB"/>
    <w:rsid w:val="00900C1E"/>
    <w:rsid w:val="00902747"/>
    <w:rsid w:val="00906105"/>
    <w:rsid w:val="00906F8A"/>
    <w:rsid w:val="00910582"/>
    <w:rsid w:val="00912BEC"/>
    <w:rsid w:val="0091488E"/>
    <w:rsid w:val="0092027E"/>
    <w:rsid w:val="0092063C"/>
    <w:rsid w:val="00920DFC"/>
    <w:rsid w:val="0092167C"/>
    <w:rsid w:val="009257AC"/>
    <w:rsid w:val="00935A93"/>
    <w:rsid w:val="0093661B"/>
    <w:rsid w:val="00936FCD"/>
    <w:rsid w:val="00941732"/>
    <w:rsid w:val="00941C26"/>
    <w:rsid w:val="009420EF"/>
    <w:rsid w:val="009423B2"/>
    <w:rsid w:val="00944955"/>
    <w:rsid w:val="009500B0"/>
    <w:rsid w:val="00950B7F"/>
    <w:rsid w:val="009513BD"/>
    <w:rsid w:val="00951B23"/>
    <w:rsid w:val="009538A0"/>
    <w:rsid w:val="009554F3"/>
    <w:rsid w:val="00962D4A"/>
    <w:rsid w:val="009675D7"/>
    <w:rsid w:val="00970F21"/>
    <w:rsid w:val="00971E86"/>
    <w:rsid w:val="009738C6"/>
    <w:rsid w:val="009746E6"/>
    <w:rsid w:val="00985CEA"/>
    <w:rsid w:val="009913D9"/>
    <w:rsid w:val="00994177"/>
    <w:rsid w:val="009A15CB"/>
    <w:rsid w:val="009A5F66"/>
    <w:rsid w:val="009A6F99"/>
    <w:rsid w:val="009A7166"/>
    <w:rsid w:val="009A7DA4"/>
    <w:rsid w:val="009A7DBA"/>
    <w:rsid w:val="009B169C"/>
    <w:rsid w:val="009B1BD9"/>
    <w:rsid w:val="009B7883"/>
    <w:rsid w:val="009B7BF5"/>
    <w:rsid w:val="009B7C6A"/>
    <w:rsid w:val="009C0110"/>
    <w:rsid w:val="009C0768"/>
    <w:rsid w:val="009C5410"/>
    <w:rsid w:val="009C6974"/>
    <w:rsid w:val="009D4632"/>
    <w:rsid w:val="009E3B63"/>
    <w:rsid w:val="009E4114"/>
    <w:rsid w:val="009E4640"/>
    <w:rsid w:val="009E6847"/>
    <w:rsid w:val="009E6D17"/>
    <w:rsid w:val="009E7141"/>
    <w:rsid w:val="009F1499"/>
    <w:rsid w:val="009F224E"/>
    <w:rsid w:val="009F3B76"/>
    <w:rsid w:val="009F5C40"/>
    <w:rsid w:val="009F718C"/>
    <w:rsid w:val="00A00932"/>
    <w:rsid w:val="00A00EC7"/>
    <w:rsid w:val="00A01385"/>
    <w:rsid w:val="00A05388"/>
    <w:rsid w:val="00A0580C"/>
    <w:rsid w:val="00A10CAF"/>
    <w:rsid w:val="00A11A43"/>
    <w:rsid w:val="00A13465"/>
    <w:rsid w:val="00A1427E"/>
    <w:rsid w:val="00A1444C"/>
    <w:rsid w:val="00A17ED7"/>
    <w:rsid w:val="00A24437"/>
    <w:rsid w:val="00A24AEB"/>
    <w:rsid w:val="00A2531C"/>
    <w:rsid w:val="00A2764A"/>
    <w:rsid w:val="00A336F8"/>
    <w:rsid w:val="00A3394B"/>
    <w:rsid w:val="00A357C4"/>
    <w:rsid w:val="00A37C91"/>
    <w:rsid w:val="00A527F2"/>
    <w:rsid w:val="00A56B7B"/>
    <w:rsid w:val="00A638E4"/>
    <w:rsid w:val="00A651D7"/>
    <w:rsid w:val="00A6692C"/>
    <w:rsid w:val="00A71062"/>
    <w:rsid w:val="00A753C0"/>
    <w:rsid w:val="00A83085"/>
    <w:rsid w:val="00A8375D"/>
    <w:rsid w:val="00A86207"/>
    <w:rsid w:val="00A94538"/>
    <w:rsid w:val="00A94739"/>
    <w:rsid w:val="00AA0ECB"/>
    <w:rsid w:val="00AA1B90"/>
    <w:rsid w:val="00AA21FC"/>
    <w:rsid w:val="00AA53B3"/>
    <w:rsid w:val="00AA685A"/>
    <w:rsid w:val="00AA769D"/>
    <w:rsid w:val="00AB11B8"/>
    <w:rsid w:val="00AB3A9D"/>
    <w:rsid w:val="00AB3FB7"/>
    <w:rsid w:val="00AB5325"/>
    <w:rsid w:val="00AB7E45"/>
    <w:rsid w:val="00AC060E"/>
    <w:rsid w:val="00AC1CA8"/>
    <w:rsid w:val="00AC449A"/>
    <w:rsid w:val="00AC7073"/>
    <w:rsid w:val="00AD37F1"/>
    <w:rsid w:val="00AD3C0E"/>
    <w:rsid w:val="00AD592B"/>
    <w:rsid w:val="00AD7C4A"/>
    <w:rsid w:val="00AE0450"/>
    <w:rsid w:val="00AE123F"/>
    <w:rsid w:val="00AE46BC"/>
    <w:rsid w:val="00AF0675"/>
    <w:rsid w:val="00AF3433"/>
    <w:rsid w:val="00AF3A37"/>
    <w:rsid w:val="00AF55F2"/>
    <w:rsid w:val="00B147F9"/>
    <w:rsid w:val="00B14D7E"/>
    <w:rsid w:val="00B20A4C"/>
    <w:rsid w:val="00B22322"/>
    <w:rsid w:val="00B2342D"/>
    <w:rsid w:val="00B23FAA"/>
    <w:rsid w:val="00B25BD9"/>
    <w:rsid w:val="00B268EA"/>
    <w:rsid w:val="00B34A65"/>
    <w:rsid w:val="00B35125"/>
    <w:rsid w:val="00B41119"/>
    <w:rsid w:val="00B51AA9"/>
    <w:rsid w:val="00B51BDA"/>
    <w:rsid w:val="00B54E7F"/>
    <w:rsid w:val="00B550D0"/>
    <w:rsid w:val="00B56068"/>
    <w:rsid w:val="00B5696F"/>
    <w:rsid w:val="00B63EFB"/>
    <w:rsid w:val="00B71FFE"/>
    <w:rsid w:val="00B72A9E"/>
    <w:rsid w:val="00B82F31"/>
    <w:rsid w:val="00B85981"/>
    <w:rsid w:val="00B87EC1"/>
    <w:rsid w:val="00B90784"/>
    <w:rsid w:val="00B91508"/>
    <w:rsid w:val="00B92850"/>
    <w:rsid w:val="00B92CAF"/>
    <w:rsid w:val="00B95A6B"/>
    <w:rsid w:val="00BA12BD"/>
    <w:rsid w:val="00BA3AEA"/>
    <w:rsid w:val="00BA58C7"/>
    <w:rsid w:val="00BA7144"/>
    <w:rsid w:val="00BB11A9"/>
    <w:rsid w:val="00BB170E"/>
    <w:rsid w:val="00BB2518"/>
    <w:rsid w:val="00BB43B1"/>
    <w:rsid w:val="00BB53D7"/>
    <w:rsid w:val="00BB572A"/>
    <w:rsid w:val="00BB7D3F"/>
    <w:rsid w:val="00BC50BE"/>
    <w:rsid w:val="00BC5E5A"/>
    <w:rsid w:val="00BC7A0F"/>
    <w:rsid w:val="00BD6B9F"/>
    <w:rsid w:val="00BD6F04"/>
    <w:rsid w:val="00BE17B8"/>
    <w:rsid w:val="00BE21DA"/>
    <w:rsid w:val="00BE2F5C"/>
    <w:rsid w:val="00BE4C7E"/>
    <w:rsid w:val="00BE72AD"/>
    <w:rsid w:val="00BE7DFF"/>
    <w:rsid w:val="00BE7F10"/>
    <w:rsid w:val="00BF0924"/>
    <w:rsid w:val="00BF1A26"/>
    <w:rsid w:val="00BF23C0"/>
    <w:rsid w:val="00BF2505"/>
    <w:rsid w:val="00BF4E67"/>
    <w:rsid w:val="00BF5445"/>
    <w:rsid w:val="00BF7110"/>
    <w:rsid w:val="00C026F9"/>
    <w:rsid w:val="00C03CED"/>
    <w:rsid w:val="00C045C7"/>
    <w:rsid w:val="00C05955"/>
    <w:rsid w:val="00C10754"/>
    <w:rsid w:val="00C147CC"/>
    <w:rsid w:val="00C14925"/>
    <w:rsid w:val="00C21D80"/>
    <w:rsid w:val="00C21DFC"/>
    <w:rsid w:val="00C25AF5"/>
    <w:rsid w:val="00C27E2C"/>
    <w:rsid w:val="00C32482"/>
    <w:rsid w:val="00C341A3"/>
    <w:rsid w:val="00C34ECD"/>
    <w:rsid w:val="00C35427"/>
    <w:rsid w:val="00C35931"/>
    <w:rsid w:val="00C43AF5"/>
    <w:rsid w:val="00C44E57"/>
    <w:rsid w:val="00C47CEC"/>
    <w:rsid w:val="00C5027D"/>
    <w:rsid w:val="00C506B1"/>
    <w:rsid w:val="00C51CAE"/>
    <w:rsid w:val="00C55D49"/>
    <w:rsid w:val="00C60D9B"/>
    <w:rsid w:val="00C60EF8"/>
    <w:rsid w:val="00C62660"/>
    <w:rsid w:val="00C6470E"/>
    <w:rsid w:val="00C70A01"/>
    <w:rsid w:val="00C74D38"/>
    <w:rsid w:val="00C75952"/>
    <w:rsid w:val="00C77AF7"/>
    <w:rsid w:val="00C87C10"/>
    <w:rsid w:val="00C90E3F"/>
    <w:rsid w:val="00C9467B"/>
    <w:rsid w:val="00C94A8B"/>
    <w:rsid w:val="00C96389"/>
    <w:rsid w:val="00C972AE"/>
    <w:rsid w:val="00C97339"/>
    <w:rsid w:val="00C97966"/>
    <w:rsid w:val="00CA3A28"/>
    <w:rsid w:val="00CA5E3B"/>
    <w:rsid w:val="00CB1ACF"/>
    <w:rsid w:val="00CB3013"/>
    <w:rsid w:val="00CB3C90"/>
    <w:rsid w:val="00CB6DA7"/>
    <w:rsid w:val="00CC1D69"/>
    <w:rsid w:val="00CC2847"/>
    <w:rsid w:val="00CC7E3C"/>
    <w:rsid w:val="00CD1AFA"/>
    <w:rsid w:val="00CD2069"/>
    <w:rsid w:val="00CD5923"/>
    <w:rsid w:val="00CD7D7A"/>
    <w:rsid w:val="00CE71FB"/>
    <w:rsid w:val="00CF243B"/>
    <w:rsid w:val="00CF3826"/>
    <w:rsid w:val="00CF3F51"/>
    <w:rsid w:val="00CF4B68"/>
    <w:rsid w:val="00CF768F"/>
    <w:rsid w:val="00D0013F"/>
    <w:rsid w:val="00D003E7"/>
    <w:rsid w:val="00D07ADD"/>
    <w:rsid w:val="00D10659"/>
    <w:rsid w:val="00D1083B"/>
    <w:rsid w:val="00D1233A"/>
    <w:rsid w:val="00D15166"/>
    <w:rsid w:val="00D16090"/>
    <w:rsid w:val="00D2118F"/>
    <w:rsid w:val="00D23B48"/>
    <w:rsid w:val="00D24EC5"/>
    <w:rsid w:val="00D26E21"/>
    <w:rsid w:val="00D27611"/>
    <w:rsid w:val="00D27931"/>
    <w:rsid w:val="00D31053"/>
    <w:rsid w:val="00D32122"/>
    <w:rsid w:val="00D33C35"/>
    <w:rsid w:val="00D34A31"/>
    <w:rsid w:val="00D36712"/>
    <w:rsid w:val="00D36DE3"/>
    <w:rsid w:val="00D40D7E"/>
    <w:rsid w:val="00D445F5"/>
    <w:rsid w:val="00D47EE8"/>
    <w:rsid w:val="00D509B4"/>
    <w:rsid w:val="00D51FFB"/>
    <w:rsid w:val="00D62D51"/>
    <w:rsid w:val="00D63558"/>
    <w:rsid w:val="00D65660"/>
    <w:rsid w:val="00D73192"/>
    <w:rsid w:val="00D73376"/>
    <w:rsid w:val="00D763CD"/>
    <w:rsid w:val="00D76400"/>
    <w:rsid w:val="00D76C40"/>
    <w:rsid w:val="00D77FF6"/>
    <w:rsid w:val="00D82766"/>
    <w:rsid w:val="00D872FD"/>
    <w:rsid w:val="00D902D7"/>
    <w:rsid w:val="00D904BA"/>
    <w:rsid w:val="00D90FBD"/>
    <w:rsid w:val="00D97007"/>
    <w:rsid w:val="00DA17D6"/>
    <w:rsid w:val="00DA2781"/>
    <w:rsid w:val="00DA458A"/>
    <w:rsid w:val="00DB107A"/>
    <w:rsid w:val="00DB4A37"/>
    <w:rsid w:val="00DB6B39"/>
    <w:rsid w:val="00DC14EB"/>
    <w:rsid w:val="00DC1737"/>
    <w:rsid w:val="00DC5B49"/>
    <w:rsid w:val="00DD3F11"/>
    <w:rsid w:val="00DD61E7"/>
    <w:rsid w:val="00DD6633"/>
    <w:rsid w:val="00DD6981"/>
    <w:rsid w:val="00DE0394"/>
    <w:rsid w:val="00DE2B2D"/>
    <w:rsid w:val="00DE2D95"/>
    <w:rsid w:val="00DF1AD9"/>
    <w:rsid w:val="00DF3292"/>
    <w:rsid w:val="00DF7341"/>
    <w:rsid w:val="00E01DC4"/>
    <w:rsid w:val="00E04930"/>
    <w:rsid w:val="00E0503F"/>
    <w:rsid w:val="00E056D1"/>
    <w:rsid w:val="00E06ADC"/>
    <w:rsid w:val="00E1259E"/>
    <w:rsid w:val="00E134F5"/>
    <w:rsid w:val="00E16895"/>
    <w:rsid w:val="00E16CE5"/>
    <w:rsid w:val="00E17344"/>
    <w:rsid w:val="00E2052C"/>
    <w:rsid w:val="00E2099C"/>
    <w:rsid w:val="00E21577"/>
    <w:rsid w:val="00E228FE"/>
    <w:rsid w:val="00E23956"/>
    <w:rsid w:val="00E24564"/>
    <w:rsid w:val="00E268DE"/>
    <w:rsid w:val="00E30F3D"/>
    <w:rsid w:val="00E31E64"/>
    <w:rsid w:val="00E326BC"/>
    <w:rsid w:val="00E35468"/>
    <w:rsid w:val="00E424A0"/>
    <w:rsid w:val="00E43C71"/>
    <w:rsid w:val="00E43DE4"/>
    <w:rsid w:val="00E44AA6"/>
    <w:rsid w:val="00E46FB0"/>
    <w:rsid w:val="00E5270D"/>
    <w:rsid w:val="00E53BD2"/>
    <w:rsid w:val="00E6030D"/>
    <w:rsid w:val="00E626A4"/>
    <w:rsid w:val="00E649D8"/>
    <w:rsid w:val="00E75522"/>
    <w:rsid w:val="00E76485"/>
    <w:rsid w:val="00E764AD"/>
    <w:rsid w:val="00E76B78"/>
    <w:rsid w:val="00E8043B"/>
    <w:rsid w:val="00E84D81"/>
    <w:rsid w:val="00E910D4"/>
    <w:rsid w:val="00E915BC"/>
    <w:rsid w:val="00E9684B"/>
    <w:rsid w:val="00E97A7C"/>
    <w:rsid w:val="00EA025B"/>
    <w:rsid w:val="00EA5EDA"/>
    <w:rsid w:val="00EB2FF1"/>
    <w:rsid w:val="00EB5411"/>
    <w:rsid w:val="00EB6AA0"/>
    <w:rsid w:val="00EC4D38"/>
    <w:rsid w:val="00EC7E28"/>
    <w:rsid w:val="00ED1DA3"/>
    <w:rsid w:val="00ED3733"/>
    <w:rsid w:val="00ED38F0"/>
    <w:rsid w:val="00ED7632"/>
    <w:rsid w:val="00EE18FD"/>
    <w:rsid w:val="00EE355D"/>
    <w:rsid w:val="00EE5A3D"/>
    <w:rsid w:val="00EE618C"/>
    <w:rsid w:val="00EF179D"/>
    <w:rsid w:val="00EF3398"/>
    <w:rsid w:val="00EF3B8F"/>
    <w:rsid w:val="00EF556D"/>
    <w:rsid w:val="00F01616"/>
    <w:rsid w:val="00F1272E"/>
    <w:rsid w:val="00F138EE"/>
    <w:rsid w:val="00F1789A"/>
    <w:rsid w:val="00F228F3"/>
    <w:rsid w:val="00F22C7C"/>
    <w:rsid w:val="00F2784A"/>
    <w:rsid w:val="00F33345"/>
    <w:rsid w:val="00F35759"/>
    <w:rsid w:val="00F3649D"/>
    <w:rsid w:val="00F4134E"/>
    <w:rsid w:val="00F417EC"/>
    <w:rsid w:val="00F4485F"/>
    <w:rsid w:val="00F4601E"/>
    <w:rsid w:val="00F50C84"/>
    <w:rsid w:val="00F5230A"/>
    <w:rsid w:val="00F52A1B"/>
    <w:rsid w:val="00F5683A"/>
    <w:rsid w:val="00F607E6"/>
    <w:rsid w:val="00F65D53"/>
    <w:rsid w:val="00F6633D"/>
    <w:rsid w:val="00F66DBA"/>
    <w:rsid w:val="00F67CC0"/>
    <w:rsid w:val="00F67D4C"/>
    <w:rsid w:val="00F733E2"/>
    <w:rsid w:val="00F736AE"/>
    <w:rsid w:val="00F741D7"/>
    <w:rsid w:val="00F75E9D"/>
    <w:rsid w:val="00F82FA2"/>
    <w:rsid w:val="00F8415A"/>
    <w:rsid w:val="00F8625D"/>
    <w:rsid w:val="00F90053"/>
    <w:rsid w:val="00F9274F"/>
    <w:rsid w:val="00F9436C"/>
    <w:rsid w:val="00F94892"/>
    <w:rsid w:val="00F95BFA"/>
    <w:rsid w:val="00FA1C46"/>
    <w:rsid w:val="00FA2BA7"/>
    <w:rsid w:val="00FA3E2B"/>
    <w:rsid w:val="00FA684F"/>
    <w:rsid w:val="00FB0B22"/>
    <w:rsid w:val="00FB1860"/>
    <w:rsid w:val="00FB3ECD"/>
    <w:rsid w:val="00FB43F2"/>
    <w:rsid w:val="00FB5B58"/>
    <w:rsid w:val="00FB65D1"/>
    <w:rsid w:val="00FC6798"/>
    <w:rsid w:val="00FD164A"/>
    <w:rsid w:val="00FD2803"/>
    <w:rsid w:val="00FD4341"/>
    <w:rsid w:val="00FD5CD0"/>
    <w:rsid w:val="00FE13C7"/>
    <w:rsid w:val="00FE32D1"/>
    <w:rsid w:val="00FE61C6"/>
    <w:rsid w:val="00FF2BCF"/>
    <w:rsid w:val="00FF2D55"/>
    <w:rsid w:val="00FF4EED"/>
    <w:rsid w:val="00FF4F44"/>
    <w:rsid w:val="00FF64A8"/>
    <w:rsid w:val="00FF7C25"/>
  </w:rsids>
  <m:mathPr>
    <m:mathFont m:val="Cambria Math"/>
    <m:brkBin m:val="before"/>
    <m:brkBinSub m:val="--"/>
    <m:smallFrac m:val="off"/>
    <m:dispDef/>
    <m:lMargin m:val="0"/>
    <m:rMargin m:val="0"/>
    <m:defJc m:val="centerGroup"/>
    <m:wrapIndent m:val="1440"/>
    <m:intLim m:val="subSup"/>
    <m:naryLim m:val="undOvr"/>
  </m:mathPr>
  <w:themeFontLang w:val="en-US" w:bidi="mn-Mong-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F98"/>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3F9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13F98"/>
    <w:rPr>
      <w:rFonts w:ascii="Times New Roman" w:hAnsi="Times New Roman"/>
      <w:sz w:val="24"/>
      <w:lang w:val="en-GB"/>
    </w:rPr>
  </w:style>
  <w:style w:type="paragraph" w:styleId="Footer">
    <w:name w:val="footer"/>
    <w:basedOn w:val="Normal"/>
    <w:link w:val="FooterChar"/>
    <w:uiPriority w:val="99"/>
    <w:semiHidden/>
    <w:unhideWhenUsed/>
    <w:rsid w:val="00213F9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13F98"/>
    <w:rPr>
      <w:rFonts w:ascii="Times New Roman" w:hAnsi="Times New Roman"/>
      <w:sz w:val="24"/>
      <w:lang w:val="en-GB"/>
    </w:rPr>
  </w:style>
  <w:style w:type="table" w:styleId="TableGrid">
    <w:name w:val="Table Grid"/>
    <w:basedOn w:val="TableNormal"/>
    <w:uiPriority w:val="59"/>
    <w:rsid w:val="001076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07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6D5"/>
    <w:rPr>
      <w:rFonts w:ascii="Tahoma" w:hAnsi="Tahoma" w:cs="Tahoma"/>
      <w:sz w:val="16"/>
      <w:szCs w:val="16"/>
      <w:lang w:val="en-GB"/>
    </w:rPr>
  </w:style>
  <w:style w:type="character" w:styleId="Hyperlink">
    <w:name w:val="Hyperlink"/>
    <w:basedOn w:val="DefaultParagraphFont"/>
    <w:uiPriority w:val="99"/>
    <w:semiHidden/>
    <w:unhideWhenUsed/>
    <w:rsid w:val="001076D5"/>
    <w:rPr>
      <w:color w:val="0000FF"/>
      <w:u w:val="single"/>
    </w:rPr>
  </w:style>
  <w:style w:type="paragraph" w:styleId="NormalWeb">
    <w:name w:val="Normal (Web)"/>
    <w:basedOn w:val="Normal"/>
    <w:uiPriority w:val="99"/>
    <w:unhideWhenUsed/>
    <w:rsid w:val="001076D5"/>
    <w:pPr>
      <w:spacing w:before="100" w:beforeAutospacing="1" w:after="100" w:afterAutospacing="1" w:line="240" w:lineRule="auto"/>
    </w:pPr>
    <w:rPr>
      <w:rFonts w:eastAsia="Times New Roman" w:cs="Times New Roman"/>
      <w:szCs w:val="24"/>
      <w:lang w:val="en-US"/>
    </w:rPr>
  </w:style>
  <w:style w:type="paragraph" w:customStyle="1" w:styleId="Default">
    <w:name w:val="Default"/>
    <w:rsid w:val="001076D5"/>
    <w:pPr>
      <w:autoSpaceDE w:val="0"/>
      <w:autoSpaceDN w:val="0"/>
      <w:adjustRightInd w:val="0"/>
      <w:spacing w:after="0" w:line="240" w:lineRule="auto"/>
    </w:pPr>
    <w:rPr>
      <w:rFonts w:ascii="Cambria" w:hAnsi="Cambria" w:cs="Cambria"/>
      <w:color w:val="000000"/>
      <w:sz w:val="24"/>
      <w:szCs w:val="24"/>
      <w:lang w:val="es-C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google.com/url?sa=i&amp;rct=j&amp;q=&amp;esrc=s&amp;source=images&amp;cd=&amp;cad=rja&amp;docid=Zz51LR7DdSN48M&amp;tbnid=VDIORLrSnCZ9gM:&amp;ved=0CAUQjRw&amp;url=http://landportal.info/resource/global/iyff-video-release-making-case-family-farming&amp;ei=mmrdUrTLGcy-kQeol4GYBQ&amp;bvm=bv.59568121,d.eW0&amp;psig=AFQjCNFAhzSCUz8JPPRSywDat67sV-jNlg&amp;ust=139032874956543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o.org/family-farming-2014/e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cid:image001.jpg@01CF15EF.145D9C80" TargetMode="External"/><Relationship Id="rId4" Type="http://schemas.openxmlformats.org/officeDocument/2006/relationships/hyperlink" Target="http://www.google.com/url?sa=i&amp;rct=j&amp;q=&amp;esrc=s&amp;source=images&amp;cd=&amp;cad=rja&amp;docid=zrCR-XhH7RPLHM&amp;tbnid=kHxADUr6Hy-EpM:&amp;ved=0CAUQjRw&amp;url=http://www.behance.net/gallery/Happy-New-Year-2014-Year-of-Family-Farming/13446207&amp;ei=z2vdUt2rPIvqkAe88IHgAg&amp;bvm=bv.59568121,d.eW0&amp;psig=AFQjCNF_CWpYqIPVt33__d_VTQuthjGBhQ&amp;ust=1390329038810422"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748</Words>
  <Characters>4269</Characters>
  <Application>Microsoft Office Word</Application>
  <DocSecurity>0</DocSecurity>
  <Lines>35</Lines>
  <Paragraphs>10</Paragraphs>
  <ScaleCrop>false</ScaleCrop>
  <Company>FAO of the UN</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sarjeant</dc:creator>
  <cp:lastModifiedBy>sarjeant</cp:lastModifiedBy>
  <cp:revision>3</cp:revision>
  <dcterms:created xsi:type="dcterms:W3CDTF">2014-01-20T18:43:00Z</dcterms:created>
  <dcterms:modified xsi:type="dcterms:W3CDTF">2014-01-20T18:55:00Z</dcterms:modified>
</cp:coreProperties>
</file>