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21" w:rsidRDefault="00217CD8" w:rsidP="005B35CD">
      <w:pPr>
        <w:pStyle w:val="Title"/>
        <w:rPr>
          <w:rFonts w:asciiTheme="minorHAnsi" w:hAnsiTheme="minorHAnsi"/>
          <w:sz w:val="40"/>
          <w:szCs w:val="40"/>
          <w:lang w:val="en-GB"/>
        </w:rPr>
      </w:pPr>
      <w:bookmarkStart w:id="0" w:name="_Toc285201809"/>
      <w:r w:rsidRPr="00217CD8">
        <w:rPr>
          <w:rFonts w:asciiTheme="minorHAnsi" w:hAnsiTheme="minorHAnsi"/>
          <w:sz w:val="40"/>
          <w:szCs w:val="40"/>
          <w:lang w:eastAsia="en-US"/>
        </w:rPr>
        <w:drawing>
          <wp:inline distT="0" distB="0" distL="0" distR="0">
            <wp:extent cx="684212" cy="684212"/>
            <wp:effectExtent l="19050" t="0" r="1588" b="0"/>
            <wp:docPr id="4" name="Picture 1" descr="FAO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 descr="FAO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" cy="684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CD8">
        <w:rPr>
          <w:rFonts w:asciiTheme="minorHAnsi" w:hAnsiTheme="minorHAnsi"/>
          <w:sz w:val="40"/>
          <w:szCs w:val="40"/>
          <w:lang w:eastAsia="en-US"/>
        </w:rPr>
        <w:drawing>
          <wp:inline distT="0" distB="0" distL="0" distR="0">
            <wp:extent cx="755650" cy="706437"/>
            <wp:effectExtent l="19050" t="0" r="6350" b="0"/>
            <wp:docPr id="3" name="Picture 2" descr="WH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5" descr="WH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06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9D9" w:rsidRDefault="00D449D9" w:rsidP="00D449D9">
      <w:pPr>
        <w:pStyle w:val="Title"/>
        <w:rPr>
          <w:rFonts w:asciiTheme="minorHAnsi" w:hAnsiTheme="minorHAnsi"/>
          <w:color w:val="7F7F7F" w:themeColor="text1" w:themeTint="80"/>
          <w:sz w:val="40"/>
          <w:szCs w:val="40"/>
          <w:lang w:val="en-GB"/>
        </w:rPr>
      </w:pPr>
      <w:r w:rsidRPr="00D449D9">
        <w:rPr>
          <w:rFonts w:asciiTheme="minorHAnsi" w:hAnsiTheme="minorHAnsi"/>
          <w:color w:val="7F7F7F" w:themeColor="text1" w:themeTint="80"/>
          <w:sz w:val="40"/>
          <w:szCs w:val="40"/>
          <w:lang w:val="en-GB"/>
        </w:rPr>
        <w:t>JOINT FAO/WHO FOOD STANDARDS PROGRAMME</w:t>
      </w:r>
      <w:r w:rsidRPr="00D449D9">
        <w:rPr>
          <w:rFonts w:asciiTheme="minorHAnsi" w:hAnsiTheme="minorHAnsi"/>
          <w:color w:val="7F7F7F" w:themeColor="text1" w:themeTint="80"/>
          <w:sz w:val="40"/>
          <w:szCs w:val="40"/>
          <w:lang w:val="en-GB"/>
        </w:rPr>
        <w:cr/>
      </w:r>
      <w:r>
        <w:rPr>
          <w:rFonts w:asciiTheme="minorHAnsi" w:hAnsiTheme="minorHAnsi"/>
          <w:color w:val="7F7F7F" w:themeColor="text1" w:themeTint="80"/>
          <w:sz w:val="40"/>
          <w:szCs w:val="40"/>
          <w:lang w:val="en-GB"/>
        </w:rPr>
        <w:t>Codex Committee on Contaminants in Food</w:t>
      </w:r>
    </w:p>
    <w:p w:rsidR="00F16336" w:rsidRPr="00D449D9" w:rsidRDefault="00604854" w:rsidP="00D449D9">
      <w:pPr>
        <w:pStyle w:val="Title"/>
        <w:rPr>
          <w:rFonts w:asciiTheme="minorHAnsi" w:hAnsiTheme="minorHAnsi"/>
          <w:color w:val="7F7F7F" w:themeColor="text1" w:themeTint="80"/>
          <w:sz w:val="40"/>
          <w:szCs w:val="40"/>
          <w:u w:val="single"/>
          <w:lang w:val="en-GB"/>
        </w:rPr>
      </w:pPr>
      <w:r w:rsidRPr="00D449D9">
        <w:rPr>
          <w:rFonts w:asciiTheme="minorHAnsi" w:hAnsiTheme="minorHAnsi"/>
          <w:color w:val="7F7F7F" w:themeColor="text1" w:themeTint="80"/>
          <w:sz w:val="40"/>
          <w:szCs w:val="40"/>
          <w:u w:val="single"/>
          <w:lang w:val="en-GB"/>
        </w:rPr>
        <w:t>Side event on feed safety</w:t>
      </w:r>
    </w:p>
    <w:p w:rsidR="00D063BC" w:rsidRDefault="00604854" w:rsidP="00D449D9">
      <w:pPr>
        <w:pStyle w:val="Title"/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</w:pPr>
      <w:r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>2</w:t>
      </w:r>
      <w:r w:rsidR="00D063BC" w:rsidRPr="00676921"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 xml:space="preserve"> </w:t>
      </w:r>
      <w:r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>April</w:t>
      </w:r>
      <w:r w:rsidR="00D063BC" w:rsidRPr="00676921"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 xml:space="preserve"> 2014</w:t>
      </w:r>
      <w:r w:rsidR="00D449D9"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>, the Hague – the Netherlands</w:t>
      </w:r>
      <w:bookmarkEnd w:id="0"/>
    </w:p>
    <w:p w:rsidR="00F16336" w:rsidRPr="005B35CD" w:rsidRDefault="00D063BC" w:rsidP="00F90192">
      <w:pPr>
        <w:pStyle w:val="Title"/>
        <w:spacing w:after="0" w:line="240" w:lineRule="auto"/>
        <w:rPr>
          <w:rFonts w:asciiTheme="minorHAnsi" w:hAnsiTheme="minorHAnsi"/>
          <w:color w:val="7F7F7F" w:themeColor="text1" w:themeTint="80"/>
          <w:sz w:val="32"/>
          <w:szCs w:val="32"/>
          <w:lang w:val="en-GB"/>
        </w:rPr>
      </w:pPr>
      <w:r w:rsidRPr="005B35CD">
        <w:rPr>
          <w:rFonts w:asciiTheme="minorHAnsi" w:hAnsiTheme="minorHAnsi"/>
          <w:color w:val="7F7F7F" w:themeColor="text1" w:themeTint="80"/>
          <w:sz w:val="32"/>
          <w:szCs w:val="32"/>
          <w:lang w:val="en-GB"/>
        </w:rPr>
        <w:t>Programme</w:t>
      </w:r>
    </w:p>
    <w:p w:rsidR="00BD04F7" w:rsidRDefault="00BD04F7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BD04F7" w:rsidRDefault="00BD04F7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7C6EE9" w:rsidRDefault="006B347C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  <w:r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Chair: </w:t>
      </w:r>
      <w:r w:rsidR="007C6EE9" w:rsidRPr="007C6EE9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F</w:t>
      </w:r>
      <w:r w:rsidR="005F7D24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. </w:t>
      </w:r>
      <w:r w:rsidR="007C6EE9" w:rsidRPr="007C6EE9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Verstraete</w:t>
      </w:r>
      <w:r w:rsidR="007C6EE9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, European Commission</w:t>
      </w:r>
    </w:p>
    <w:p w:rsidR="00F90192" w:rsidRDefault="00F90192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5B35CD" w:rsidRPr="005E1E40" w:rsidRDefault="005B35CD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  <w:r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Feed safety, an introduction - what is at stake. </w:t>
      </w:r>
      <w:r w:rsid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- </w:t>
      </w:r>
      <w:r w:rsidR="006B347C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D. Battaglia, </w:t>
      </w:r>
      <w:r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FAO</w:t>
      </w:r>
      <w:r w:rsidR="00E0385D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 </w:t>
      </w:r>
    </w:p>
    <w:p w:rsidR="00F90192" w:rsidRDefault="00F90192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E0385D" w:rsidRPr="005E1E40" w:rsidRDefault="00D449D9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  <w:r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Codex Alimentarius </w:t>
      </w:r>
      <w:r w:rsidR="00FB18F4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addressing feed safety: a dedicated Code of Practices, Guidelines on Application of Risk Assessment, Guidance on Prioritizing Hazards, attention to feed in several Committee</w:t>
      </w:r>
      <w:r w:rsidR="005B35CD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. </w:t>
      </w:r>
      <w:r w:rsid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- </w:t>
      </w:r>
      <w:r w:rsidR="005B35CD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Codex Secretariat</w:t>
      </w:r>
      <w:r w:rsidR="00E0385D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 </w:t>
      </w:r>
    </w:p>
    <w:p w:rsidR="00F90192" w:rsidRDefault="00F90192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E0385D" w:rsidRPr="005E1E40" w:rsidRDefault="00E0385D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  <w:r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Risk assessment on contaminants in feed. </w:t>
      </w:r>
      <w:r w:rsidR="005F7D24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–</w:t>
      </w:r>
      <w:r w:rsid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 </w:t>
      </w:r>
      <w:r w:rsidR="005E1E40" w:rsidRPr="005E1E40">
        <w:rPr>
          <w:rFonts w:asciiTheme="minorHAnsi" w:hAnsiTheme="minorHAnsi" w:cs="Tahoma"/>
          <w:color w:val="7F7F7F" w:themeColor="text1" w:themeTint="80"/>
          <w:sz w:val="28"/>
          <w:szCs w:val="28"/>
        </w:rPr>
        <w:t>A</w:t>
      </w:r>
      <w:r w:rsidR="005F7D24">
        <w:rPr>
          <w:rFonts w:asciiTheme="minorHAnsi" w:hAnsiTheme="minorHAnsi" w:cs="Tahoma"/>
          <w:color w:val="7F7F7F" w:themeColor="text1" w:themeTint="80"/>
          <w:sz w:val="28"/>
          <w:szCs w:val="28"/>
        </w:rPr>
        <w:t>.</w:t>
      </w:r>
      <w:r w:rsidR="005E1E40" w:rsidRPr="005E1E40">
        <w:rPr>
          <w:rFonts w:asciiTheme="minorHAnsi" w:hAnsiTheme="minorHAnsi" w:cs="Tahoma"/>
          <w:color w:val="7F7F7F" w:themeColor="text1" w:themeTint="80"/>
          <w:sz w:val="28"/>
          <w:szCs w:val="28"/>
        </w:rPr>
        <w:t xml:space="preserve"> T</w:t>
      </w:r>
      <w:r w:rsidR="005E1E40">
        <w:rPr>
          <w:rFonts w:asciiTheme="minorHAnsi" w:hAnsiTheme="minorHAnsi" w:cs="Tahoma"/>
          <w:color w:val="7F7F7F" w:themeColor="text1" w:themeTint="80"/>
          <w:sz w:val="28"/>
          <w:szCs w:val="28"/>
        </w:rPr>
        <w:t xml:space="preserve">ritscher, </w:t>
      </w:r>
      <w:r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JECFA </w:t>
      </w:r>
      <w:r w:rsidR="006B347C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Secretariat</w:t>
      </w:r>
      <w:r w:rsidR="005E1E40" w:rsidRP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 </w:t>
      </w:r>
    </w:p>
    <w:p w:rsidR="00F90192" w:rsidRDefault="00F90192" w:rsidP="00F90192">
      <w:pPr>
        <w:spacing w:after="0" w:line="240" w:lineRule="auto"/>
        <w:jc w:val="left"/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</w:pPr>
    </w:p>
    <w:p w:rsidR="00F90192" w:rsidRDefault="005E1E40" w:rsidP="00F90192">
      <w:pPr>
        <w:spacing w:after="0" w:line="240" w:lineRule="auto"/>
        <w:jc w:val="left"/>
        <w:rPr>
          <w:rFonts w:asciiTheme="minorHAnsi" w:hAnsiTheme="minorHAnsi"/>
          <w:color w:val="7F7F7F" w:themeColor="text1" w:themeTint="80"/>
          <w:sz w:val="28"/>
          <w:szCs w:val="28"/>
        </w:rPr>
      </w:pPr>
      <w:r>
        <w:rPr>
          <w:rFonts w:asciiTheme="minorHAnsi" w:hAnsiTheme="minorHAnsi"/>
          <w:color w:val="7F7F7F" w:themeColor="text1" w:themeTint="80"/>
          <w:sz w:val="28"/>
          <w:szCs w:val="28"/>
        </w:rPr>
        <w:t>F</w:t>
      </w:r>
      <w:r w:rsidRPr="005E1E40">
        <w:rPr>
          <w:rFonts w:asciiTheme="minorHAnsi" w:hAnsiTheme="minorHAnsi"/>
          <w:color w:val="7F7F7F" w:themeColor="text1" w:themeTint="80"/>
          <w:sz w:val="28"/>
          <w:szCs w:val="28"/>
        </w:rPr>
        <w:t>eed risk assessment - chemical safety.</w:t>
      </w:r>
      <w:r>
        <w:rPr>
          <w:rFonts w:asciiTheme="minorHAnsi" w:hAnsiTheme="minorHAnsi"/>
          <w:color w:val="7F7F7F" w:themeColor="text1" w:themeTint="80"/>
          <w:sz w:val="28"/>
          <w:szCs w:val="28"/>
        </w:rPr>
        <w:t xml:space="preserve"> </w:t>
      </w:r>
      <w:r w:rsidRPr="005E1E40">
        <w:rPr>
          <w:rFonts w:asciiTheme="minorHAnsi" w:hAnsiTheme="minorHAnsi"/>
          <w:color w:val="7F7F7F" w:themeColor="text1" w:themeTint="80"/>
          <w:sz w:val="28"/>
          <w:szCs w:val="28"/>
        </w:rPr>
        <w:t xml:space="preserve">Outcome and </w:t>
      </w:r>
      <w:r w:rsidRPr="00F90192">
        <w:rPr>
          <w:rFonts w:asciiTheme="minorHAnsi" w:hAnsiTheme="minorHAnsi"/>
          <w:color w:val="7F7F7F" w:themeColor="text1" w:themeTint="80"/>
          <w:sz w:val="28"/>
          <w:szCs w:val="28"/>
        </w:rPr>
        <w:t>follow-up of the International Workshop held In Utrech, Nl in September 2013. - A. Bulder</w:t>
      </w:r>
      <w:r w:rsidR="00F90192" w:rsidRPr="00F90192">
        <w:rPr>
          <w:rFonts w:asciiTheme="minorHAnsi" w:hAnsiTheme="minorHAnsi"/>
          <w:color w:val="7F7F7F" w:themeColor="text1" w:themeTint="80"/>
          <w:sz w:val="28"/>
          <w:szCs w:val="28"/>
        </w:rPr>
        <w:t xml:space="preserve">, Coordinator </w:t>
      </w:r>
      <w:r w:rsidR="00F90192">
        <w:rPr>
          <w:rFonts w:asciiTheme="minorHAnsi" w:hAnsiTheme="minorHAnsi"/>
          <w:color w:val="7F7F7F" w:themeColor="text1" w:themeTint="80"/>
          <w:sz w:val="28"/>
          <w:szCs w:val="28"/>
        </w:rPr>
        <w:t>–</w:t>
      </w:r>
      <w:r w:rsidR="00F90192" w:rsidRPr="00F90192">
        <w:rPr>
          <w:rFonts w:asciiTheme="minorHAnsi" w:hAnsiTheme="minorHAnsi"/>
          <w:color w:val="7F7F7F" w:themeColor="text1" w:themeTint="80"/>
          <w:sz w:val="28"/>
          <w:szCs w:val="28"/>
        </w:rPr>
        <w:t xml:space="preserve"> </w:t>
      </w:r>
      <w:r w:rsidR="00F90192">
        <w:rPr>
          <w:rFonts w:asciiTheme="minorHAnsi" w:hAnsiTheme="minorHAnsi"/>
          <w:color w:val="7F7F7F" w:themeColor="text1" w:themeTint="80"/>
          <w:sz w:val="28"/>
          <w:szCs w:val="28"/>
        </w:rPr>
        <w:t xml:space="preserve">Dutch </w:t>
      </w:r>
      <w:r w:rsidR="00F90192" w:rsidRPr="00F90192">
        <w:rPr>
          <w:rFonts w:asciiTheme="minorHAnsi" w:hAnsiTheme="minorHAnsi" w:cs="Arial"/>
          <w:color w:val="7F7F7F" w:themeColor="text1" w:themeTint="80"/>
          <w:sz w:val="28"/>
          <w:szCs w:val="28"/>
        </w:rPr>
        <w:t>National Institute for Public Health and the Environment (RIVM)</w:t>
      </w:r>
      <w:r w:rsidR="00F90192" w:rsidRPr="00F90192">
        <w:rPr>
          <w:rFonts w:asciiTheme="minorHAnsi" w:hAnsiTheme="minorHAnsi" w:cs="Arial"/>
          <w:color w:val="7F7F7F" w:themeColor="text1" w:themeTint="80"/>
          <w:sz w:val="28"/>
          <w:szCs w:val="28"/>
        </w:rPr>
        <w:br/>
      </w:r>
    </w:p>
    <w:p w:rsidR="005E1E40" w:rsidRPr="00F90192" w:rsidRDefault="005B35CD" w:rsidP="00F90192">
      <w:pPr>
        <w:spacing w:after="0" w:line="240" w:lineRule="auto"/>
        <w:jc w:val="left"/>
        <w:rPr>
          <w:rFonts w:asciiTheme="minorHAnsi" w:hAnsiTheme="minorHAnsi"/>
          <w:color w:val="7F7F7F" w:themeColor="text1" w:themeTint="80"/>
          <w:sz w:val="28"/>
          <w:szCs w:val="28"/>
        </w:rPr>
      </w:pPr>
      <w:r w:rsidRPr="00F90192"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>Feed safety: the needs of the food industry</w:t>
      </w:r>
      <w:r w:rsidR="006B347C" w:rsidRPr="00F90192">
        <w:rPr>
          <w:rFonts w:asciiTheme="minorHAnsi" w:hAnsiTheme="minorHAnsi"/>
          <w:b/>
          <w:color w:val="7F7F7F" w:themeColor="text1" w:themeTint="80"/>
          <w:sz w:val="28"/>
          <w:szCs w:val="28"/>
          <w:lang w:val="en-GB"/>
        </w:rPr>
        <w:t xml:space="preserve">. </w:t>
      </w:r>
      <w:r w:rsidR="005F7D24">
        <w:rPr>
          <w:rFonts w:asciiTheme="minorHAnsi" w:hAnsiTheme="minorHAnsi"/>
          <w:b/>
          <w:color w:val="7F7F7F" w:themeColor="text1" w:themeTint="80"/>
          <w:sz w:val="28"/>
          <w:szCs w:val="28"/>
          <w:lang w:val="en-GB"/>
        </w:rPr>
        <w:t>–</w:t>
      </w:r>
      <w:r w:rsidR="005E1E40" w:rsidRPr="00F90192">
        <w:rPr>
          <w:rFonts w:asciiTheme="minorHAnsi" w:hAnsiTheme="minorHAnsi"/>
          <w:b/>
          <w:color w:val="7F7F7F" w:themeColor="text1" w:themeTint="80"/>
          <w:sz w:val="28"/>
          <w:szCs w:val="28"/>
          <w:lang w:val="en-GB"/>
        </w:rPr>
        <w:t xml:space="preserve"> </w:t>
      </w:r>
      <w:r w:rsidR="005E1E40" w:rsidRPr="00F90192">
        <w:rPr>
          <w:rFonts w:asciiTheme="minorHAnsi" w:hAnsiTheme="minorHAnsi"/>
          <w:b/>
          <w:color w:val="7F7F7F" w:themeColor="text1" w:themeTint="80"/>
          <w:sz w:val="28"/>
          <w:szCs w:val="28"/>
        </w:rPr>
        <w:t>H</w:t>
      </w:r>
      <w:r w:rsidR="005F7D24">
        <w:rPr>
          <w:rFonts w:asciiTheme="minorHAnsi" w:hAnsiTheme="minorHAnsi"/>
          <w:b/>
          <w:color w:val="7F7F7F" w:themeColor="text1" w:themeTint="80"/>
          <w:sz w:val="28"/>
          <w:szCs w:val="28"/>
        </w:rPr>
        <w:t>.</w:t>
      </w:r>
      <w:r w:rsidR="005E1E40" w:rsidRPr="00F90192">
        <w:rPr>
          <w:rFonts w:asciiTheme="minorHAnsi" w:hAnsiTheme="minorHAnsi"/>
          <w:b/>
          <w:color w:val="7F7F7F" w:themeColor="text1" w:themeTint="80"/>
          <w:sz w:val="28"/>
          <w:szCs w:val="28"/>
        </w:rPr>
        <w:t xml:space="preserve"> Jöhr, Nestlé</w:t>
      </w:r>
    </w:p>
    <w:p w:rsidR="00F90192" w:rsidRDefault="00F90192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E0385D" w:rsidRDefault="005B35CD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  <w:r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Feed safety: the efforts of the feed industry. </w:t>
      </w:r>
      <w:r w:rsid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- </w:t>
      </w:r>
      <w:r w:rsidR="0069282B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A. d</w:t>
      </w:r>
      <w:r w:rsidR="006B347C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e Athayde, </w:t>
      </w:r>
      <w:r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International F</w:t>
      </w:r>
      <w:r w:rsidR="00E0385D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eed Industry Federation (IFIF) </w:t>
      </w:r>
    </w:p>
    <w:p w:rsidR="00F90192" w:rsidRDefault="00F90192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</w:p>
    <w:p w:rsidR="00E0385D" w:rsidRDefault="005B35CD" w:rsidP="00F90192">
      <w:pPr>
        <w:pStyle w:val="Title"/>
        <w:spacing w:after="0" w:line="240" w:lineRule="auto"/>
        <w:jc w:val="left"/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</w:pPr>
      <w:r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Developing capacities, FAO programme of work addressing feed safety</w:t>
      </w:r>
      <w:r w:rsidR="006B347C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. </w:t>
      </w:r>
      <w:r w:rsidR="005E1E40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- </w:t>
      </w:r>
      <w:r w:rsidR="006B347C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D. Battaglia, </w:t>
      </w:r>
      <w:r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>FAO</w:t>
      </w:r>
      <w:r w:rsidR="00E0385D">
        <w:rPr>
          <w:rFonts w:asciiTheme="minorHAnsi" w:hAnsiTheme="minorHAnsi"/>
          <w:b w:val="0"/>
          <w:color w:val="7F7F7F" w:themeColor="text1" w:themeTint="80"/>
          <w:sz w:val="28"/>
          <w:szCs w:val="28"/>
          <w:lang w:val="en-GB"/>
        </w:rPr>
        <w:t xml:space="preserve"> </w:t>
      </w:r>
    </w:p>
    <w:p w:rsidR="00F90192" w:rsidRDefault="00F90192" w:rsidP="00F90192">
      <w:pPr>
        <w:pStyle w:val="Title"/>
        <w:spacing w:after="0" w:line="240" w:lineRule="auto"/>
        <w:jc w:val="left"/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</w:pPr>
    </w:p>
    <w:p w:rsidR="00D449D9" w:rsidRPr="00676921" w:rsidRDefault="00FB18F4" w:rsidP="00F90192">
      <w:pPr>
        <w:pStyle w:val="Title"/>
        <w:spacing w:after="0" w:line="240" w:lineRule="auto"/>
        <w:jc w:val="left"/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</w:pPr>
      <w:r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>Q &amp; A</w:t>
      </w:r>
      <w:r w:rsidR="00F31685"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 xml:space="preserve"> - </w:t>
      </w:r>
      <w:r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>Open discussion and proposals for follow-up</w:t>
      </w:r>
      <w:r w:rsidR="00E0385D">
        <w:rPr>
          <w:rFonts w:asciiTheme="minorHAnsi" w:hAnsiTheme="minorHAnsi"/>
          <w:color w:val="7F7F7F" w:themeColor="text1" w:themeTint="80"/>
          <w:sz w:val="28"/>
          <w:szCs w:val="28"/>
          <w:lang w:val="en-GB"/>
        </w:rPr>
        <w:t xml:space="preserve"> </w:t>
      </w:r>
    </w:p>
    <w:sectPr w:rsidR="00D449D9" w:rsidRPr="00676921" w:rsidSect="005B35CD">
      <w:pgSz w:w="14224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7515C"/>
    <w:multiLevelType w:val="hybridMultilevel"/>
    <w:tmpl w:val="4E161310"/>
    <w:lvl w:ilvl="0" w:tplc="32D21A34">
      <w:start w:val="1"/>
      <w:numFmt w:val="bullet"/>
      <w:pStyle w:val="Heading2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C3D09956" w:tentative="1">
      <w:start w:val="1"/>
      <w:numFmt w:val="lowerLetter"/>
      <w:lvlText w:val="%2."/>
      <w:lvlJc w:val="left"/>
      <w:pPr>
        <w:ind w:left="1440" w:hanging="360"/>
      </w:pPr>
    </w:lvl>
    <w:lvl w:ilvl="2" w:tplc="F2BCC7C6" w:tentative="1">
      <w:start w:val="1"/>
      <w:numFmt w:val="lowerRoman"/>
      <w:lvlText w:val="%3."/>
      <w:lvlJc w:val="right"/>
      <w:pPr>
        <w:ind w:left="2160" w:hanging="180"/>
      </w:pPr>
    </w:lvl>
    <w:lvl w:ilvl="3" w:tplc="81609FFE" w:tentative="1">
      <w:start w:val="1"/>
      <w:numFmt w:val="decimal"/>
      <w:lvlText w:val="%4."/>
      <w:lvlJc w:val="left"/>
      <w:pPr>
        <w:ind w:left="2880" w:hanging="360"/>
      </w:pPr>
    </w:lvl>
    <w:lvl w:ilvl="4" w:tplc="5BA09DF2" w:tentative="1">
      <w:start w:val="1"/>
      <w:numFmt w:val="lowerLetter"/>
      <w:lvlText w:val="%5."/>
      <w:lvlJc w:val="left"/>
      <w:pPr>
        <w:ind w:left="3600" w:hanging="360"/>
      </w:pPr>
    </w:lvl>
    <w:lvl w:ilvl="5" w:tplc="DF542B36" w:tentative="1">
      <w:start w:val="1"/>
      <w:numFmt w:val="lowerRoman"/>
      <w:lvlText w:val="%6."/>
      <w:lvlJc w:val="right"/>
      <w:pPr>
        <w:ind w:left="4320" w:hanging="180"/>
      </w:pPr>
    </w:lvl>
    <w:lvl w:ilvl="6" w:tplc="34F6345A" w:tentative="1">
      <w:start w:val="1"/>
      <w:numFmt w:val="decimal"/>
      <w:lvlText w:val="%7."/>
      <w:lvlJc w:val="left"/>
      <w:pPr>
        <w:ind w:left="5040" w:hanging="360"/>
      </w:pPr>
    </w:lvl>
    <w:lvl w:ilvl="7" w:tplc="BA6EA450" w:tentative="1">
      <w:start w:val="1"/>
      <w:numFmt w:val="lowerLetter"/>
      <w:lvlText w:val="%8."/>
      <w:lvlJc w:val="left"/>
      <w:pPr>
        <w:ind w:left="5760" w:hanging="360"/>
      </w:pPr>
    </w:lvl>
    <w:lvl w:ilvl="8" w:tplc="351849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compat/>
  <w:rsids>
    <w:rsidRoot w:val="000D3C37"/>
    <w:rsid w:val="000D3C37"/>
    <w:rsid w:val="00131CAC"/>
    <w:rsid w:val="00217CD8"/>
    <w:rsid w:val="002C2807"/>
    <w:rsid w:val="002E241D"/>
    <w:rsid w:val="00355028"/>
    <w:rsid w:val="00556F85"/>
    <w:rsid w:val="005B35CD"/>
    <w:rsid w:val="005D1963"/>
    <w:rsid w:val="005E1E40"/>
    <w:rsid w:val="005F7D24"/>
    <w:rsid w:val="00604854"/>
    <w:rsid w:val="006104D7"/>
    <w:rsid w:val="00676921"/>
    <w:rsid w:val="0069282B"/>
    <w:rsid w:val="006B347C"/>
    <w:rsid w:val="007C6EE9"/>
    <w:rsid w:val="00BD04F7"/>
    <w:rsid w:val="00CC4E9D"/>
    <w:rsid w:val="00D0613B"/>
    <w:rsid w:val="00D063BC"/>
    <w:rsid w:val="00D449D9"/>
    <w:rsid w:val="00E0385D"/>
    <w:rsid w:val="00E948BE"/>
    <w:rsid w:val="00F16336"/>
    <w:rsid w:val="00F31685"/>
    <w:rsid w:val="00F77407"/>
    <w:rsid w:val="00F90192"/>
    <w:rsid w:val="00FA47F4"/>
    <w:rsid w:val="00FB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56F85"/>
    <w:pPr>
      <w:spacing w:after="200" w:line="276" w:lineRule="auto"/>
      <w:jc w:val="both"/>
    </w:pPr>
    <w:rPr>
      <w:rFonts w:ascii="Corbel" w:hAnsi="Corbel"/>
      <w:noProof/>
      <w:szCs w:val="22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8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556F85"/>
    <w:pPr>
      <w:numPr>
        <w:numId w:val="1"/>
      </w:numPr>
      <w:outlineLvl w:val="1"/>
    </w:pPr>
    <w:rPr>
      <w:rFonts w:cs="Arial"/>
      <w:noProof w:val="0"/>
      <w:color w:val="0D0D0D"/>
      <w:sz w:val="28"/>
      <w:szCs w:val="3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556F85"/>
    <w:pPr>
      <w:ind w:left="720"/>
      <w:contextualSpacing/>
    </w:pPr>
  </w:style>
  <w:style w:type="character" w:customStyle="1" w:styleId="Heading2Char">
    <w:name w:val="Heading 2 Char"/>
    <w:rsid w:val="00556F85"/>
    <w:rPr>
      <w:rFonts w:ascii="Corbel" w:hAnsi="Corbel" w:cs="Arial"/>
      <w:noProof w:val="0"/>
      <w:color w:val="0D0D0D"/>
      <w:sz w:val="28"/>
      <w:szCs w:val="36"/>
      <w:lang w:val="fr-FR"/>
    </w:rPr>
  </w:style>
  <w:style w:type="paragraph" w:styleId="PlainText">
    <w:name w:val="Plain Text"/>
    <w:basedOn w:val="Normal"/>
    <w:unhideWhenUsed/>
    <w:rsid w:val="00556F85"/>
    <w:pPr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rsid w:val="00556F85"/>
    <w:rPr>
      <w:rFonts w:ascii="Consolas" w:eastAsia="Calibri" w:hAnsi="Consolas" w:cs="Times New Roman"/>
      <w:sz w:val="21"/>
      <w:szCs w:val="21"/>
    </w:rPr>
  </w:style>
  <w:style w:type="paragraph" w:customStyle="1" w:styleId="BalloonText1">
    <w:name w:val="Balloon Text1"/>
    <w:basedOn w:val="Normal"/>
    <w:semiHidden/>
    <w:unhideWhenUsed/>
    <w:rsid w:val="00556F85"/>
    <w:pPr>
      <w:spacing w:after="0" w:line="240" w:lineRule="auto"/>
    </w:pPr>
    <w:rPr>
      <w:rFonts w:ascii="Tahoma" w:hAnsi="Tahoma" w:cs="Wingdings"/>
      <w:sz w:val="16"/>
      <w:szCs w:val="16"/>
    </w:rPr>
  </w:style>
  <w:style w:type="character" w:customStyle="1" w:styleId="BalloonTextChar">
    <w:name w:val="Balloon Text Char"/>
    <w:semiHidden/>
    <w:rsid w:val="00556F85"/>
    <w:rPr>
      <w:rFonts w:ascii="Tahoma" w:hAnsi="Tahoma" w:cs="Wingdings"/>
      <w:sz w:val="16"/>
      <w:szCs w:val="16"/>
    </w:rPr>
  </w:style>
  <w:style w:type="character" w:styleId="CommentReference">
    <w:name w:val="annotation reference"/>
    <w:semiHidden/>
    <w:unhideWhenUsed/>
    <w:rsid w:val="00556F85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556F85"/>
    <w:rPr>
      <w:szCs w:val="20"/>
    </w:rPr>
  </w:style>
  <w:style w:type="character" w:customStyle="1" w:styleId="CommentTextChar">
    <w:name w:val="Comment Text Char"/>
    <w:semiHidden/>
    <w:rsid w:val="00556F85"/>
    <w:rPr>
      <w:rFonts w:ascii="Corbel" w:hAnsi="Corbel"/>
    </w:rPr>
  </w:style>
  <w:style w:type="paragraph" w:customStyle="1" w:styleId="CommentSubject1">
    <w:name w:val="Comment Subject1"/>
    <w:basedOn w:val="CommentText"/>
    <w:next w:val="CommentText"/>
    <w:semiHidden/>
    <w:unhideWhenUsed/>
    <w:rsid w:val="00556F85"/>
    <w:rPr>
      <w:b/>
      <w:bCs/>
    </w:rPr>
  </w:style>
  <w:style w:type="character" w:customStyle="1" w:styleId="CommentSubjectChar">
    <w:name w:val="Comment Subject Char"/>
    <w:semiHidden/>
    <w:rsid w:val="00556F85"/>
    <w:rPr>
      <w:rFonts w:ascii="Corbel" w:hAnsi="Corbel"/>
      <w:b/>
      <w:bCs/>
    </w:rPr>
  </w:style>
  <w:style w:type="paragraph" w:styleId="Title">
    <w:name w:val="Title"/>
    <w:basedOn w:val="Normal"/>
    <w:qFormat/>
    <w:rsid w:val="00556F85"/>
    <w:pPr>
      <w:jc w:val="center"/>
    </w:pPr>
    <w:rPr>
      <w:rFonts w:ascii="Times New Roman" w:hAnsi="Times New Roman"/>
      <w:b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280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76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76921"/>
    <w:rPr>
      <w:rFonts w:ascii="Tahoma" w:hAnsi="Tahoma" w:cs="Tahoma"/>
      <w:noProof/>
      <w:sz w:val="16"/>
      <w:szCs w:val="16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5E1E4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FAO/WSPA/Terramo</vt:lpstr>
      <vt:lpstr>FAO/WSPA/Terramo</vt:lpstr>
    </vt:vector>
  </TitlesOfParts>
  <Company>FAO of the UN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FAO/WSPA/Terramo</dc:title>
  <dc:creator>dominguezm</dc:creator>
  <cp:lastModifiedBy>Daniela Battaglia (AGAS)</cp:lastModifiedBy>
  <cp:revision>4</cp:revision>
  <cp:lastPrinted>2014-02-03T09:54:00Z</cp:lastPrinted>
  <dcterms:created xsi:type="dcterms:W3CDTF">2014-03-26T08:49:00Z</dcterms:created>
  <dcterms:modified xsi:type="dcterms:W3CDTF">2014-03-26T08:50:00Z</dcterms:modified>
</cp:coreProperties>
</file>