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63E0" w:rsidRDefault="00B963E0" w:rsidP="00B963E0">
      <w:pPr>
        <w:jc w:val="center"/>
      </w:pPr>
      <w:r>
        <w:rPr>
          <w:noProof/>
          <w:lang w:val="en-TT" w:eastAsia="en-TT"/>
        </w:rPr>
        <w:drawing>
          <wp:anchor distT="0" distB="0" distL="114300" distR="114300" simplePos="0" relativeHeight="251659264" behindDoc="0" locked="0" layoutInCell="1" allowOverlap="1" wp14:anchorId="5F1BD731" wp14:editId="4A1B5A34">
            <wp:simplePos x="0" y="0"/>
            <wp:positionH relativeFrom="column">
              <wp:posOffset>2324100</wp:posOffset>
            </wp:positionH>
            <wp:positionV relativeFrom="paragraph">
              <wp:posOffset>-485775</wp:posOffset>
            </wp:positionV>
            <wp:extent cx="860425" cy="885825"/>
            <wp:effectExtent l="0" t="0" r="0"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t="-995" b="-995"/>
                    <a:stretch>
                      <a:fillRect/>
                    </a:stretch>
                  </pic:blipFill>
                  <pic:spPr bwMode="auto">
                    <a:xfrm>
                      <a:off x="0" y="0"/>
                      <a:ext cx="860425" cy="885825"/>
                    </a:xfrm>
                    <a:prstGeom prst="rect">
                      <a:avLst/>
                    </a:prstGeom>
                    <a:noFill/>
                    <a:ln w="9525">
                      <a:noFill/>
                      <a:miter lim="800000"/>
                      <a:headEnd/>
                      <a:tailEnd/>
                    </a:ln>
                  </pic:spPr>
                </pic:pic>
              </a:graphicData>
            </a:graphic>
          </wp:anchor>
        </w:drawing>
      </w:r>
    </w:p>
    <w:p w:rsidR="00B963E0" w:rsidRDefault="00B963E0" w:rsidP="00B963E0">
      <w:pPr>
        <w:spacing w:after="0" w:line="240" w:lineRule="auto"/>
        <w:jc w:val="center"/>
        <w:rPr>
          <w:rFonts w:ascii="Arial Narrow" w:hAnsi="Arial Narrow" w:cs="Arial"/>
          <w:b/>
          <w:bCs/>
          <w:iCs/>
          <w:sz w:val="32"/>
        </w:rPr>
      </w:pPr>
    </w:p>
    <w:p w:rsidR="00B963E0" w:rsidRDefault="00B963E0" w:rsidP="00B963E0">
      <w:pPr>
        <w:spacing w:after="0" w:line="240" w:lineRule="auto"/>
        <w:jc w:val="center"/>
        <w:rPr>
          <w:rFonts w:ascii="Arial Narrow" w:hAnsi="Arial Narrow" w:cs="Arial"/>
          <w:b/>
          <w:bCs/>
          <w:iCs/>
          <w:sz w:val="32"/>
        </w:rPr>
      </w:pPr>
      <w:r>
        <w:rPr>
          <w:rFonts w:ascii="Arial Narrow" w:hAnsi="Arial Narrow" w:cs="Arial"/>
          <w:b/>
          <w:bCs/>
          <w:iCs/>
          <w:sz w:val="32"/>
        </w:rPr>
        <w:t>OFFICE OF THE MINISTER OF FOOD PRODUCTION</w:t>
      </w:r>
    </w:p>
    <w:p w:rsidR="00B963E0" w:rsidRPr="00F05D4E" w:rsidRDefault="00B963E0" w:rsidP="00B963E0">
      <w:pPr>
        <w:spacing w:after="0" w:line="240" w:lineRule="auto"/>
        <w:jc w:val="center"/>
        <w:rPr>
          <w:rFonts w:ascii="Arial Narrow" w:hAnsi="Arial Narrow" w:cs="Arial"/>
          <w:bCs/>
          <w:i/>
          <w:iCs/>
          <w:sz w:val="20"/>
          <w:szCs w:val="20"/>
        </w:rPr>
      </w:pPr>
      <w:r>
        <w:rPr>
          <w:rFonts w:ascii="Arial Narrow" w:hAnsi="Arial Narrow" w:cs="Arial"/>
          <w:bCs/>
          <w:i/>
          <w:iCs/>
          <w:sz w:val="20"/>
          <w:szCs w:val="20"/>
        </w:rPr>
        <w:t>St. Clair Circular</w:t>
      </w:r>
      <w:r w:rsidRPr="00F05D4E">
        <w:rPr>
          <w:rFonts w:ascii="Arial Narrow" w:hAnsi="Arial Narrow" w:cs="Arial"/>
          <w:bCs/>
          <w:i/>
          <w:iCs/>
          <w:sz w:val="20"/>
          <w:szCs w:val="20"/>
        </w:rPr>
        <w:t xml:space="preserve">, </w:t>
      </w:r>
      <w:r>
        <w:rPr>
          <w:rFonts w:ascii="Arial Narrow" w:hAnsi="Arial Narrow" w:cs="Arial"/>
          <w:bCs/>
          <w:i/>
          <w:iCs/>
          <w:sz w:val="20"/>
          <w:szCs w:val="20"/>
        </w:rPr>
        <w:t xml:space="preserve">St. Clair, </w:t>
      </w:r>
      <w:r w:rsidRPr="00F05D4E">
        <w:rPr>
          <w:rFonts w:ascii="Arial Narrow" w:hAnsi="Arial Narrow" w:cs="Arial"/>
          <w:bCs/>
          <w:i/>
          <w:iCs/>
          <w:sz w:val="20"/>
          <w:szCs w:val="20"/>
        </w:rPr>
        <w:t>Port of Spain</w:t>
      </w:r>
    </w:p>
    <w:p w:rsidR="00B963E0" w:rsidRDefault="00B963E0" w:rsidP="00B963E0">
      <w:pPr>
        <w:spacing w:after="0" w:line="240" w:lineRule="auto"/>
        <w:jc w:val="center"/>
        <w:rPr>
          <w:rFonts w:ascii="Arial Narrow" w:hAnsi="Arial Narrow" w:cs="Arial"/>
          <w:bCs/>
          <w:i/>
          <w:iCs/>
          <w:sz w:val="20"/>
          <w:szCs w:val="20"/>
        </w:rPr>
      </w:pPr>
      <w:r>
        <w:rPr>
          <w:rFonts w:ascii="Arial Narrow" w:hAnsi="Arial Narrow" w:cs="Arial"/>
          <w:bCs/>
          <w:i/>
          <w:iCs/>
          <w:sz w:val="20"/>
          <w:szCs w:val="20"/>
        </w:rPr>
        <w:t>Tel: 622-1221ext. 2205</w:t>
      </w:r>
    </w:p>
    <w:p w:rsidR="005C4FD7" w:rsidRDefault="005C4FD7" w:rsidP="00B963E0">
      <w:pPr>
        <w:spacing w:after="0"/>
        <w:jc w:val="both"/>
        <w:rPr>
          <w:rFonts w:ascii="Arial Narrow" w:hAnsi="Arial Narrow" w:cs="Arial"/>
          <w:bCs/>
          <w:i/>
          <w:iCs/>
          <w:sz w:val="20"/>
          <w:szCs w:val="20"/>
        </w:rPr>
      </w:pPr>
    </w:p>
    <w:p w:rsidR="00B963E0" w:rsidRPr="00BF65CC" w:rsidRDefault="005C4FD7" w:rsidP="00B963E0">
      <w:pPr>
        <w:spacing w:after="0"/>
        <w:jc w:val="both"/>
        <w:rPr>
          <w:rFonts w:ascii="Times New Roman" w:hAnsi="Times New Roman" w:cs="Times New Roman"/>
          <w:sz w:val="24"/>
          <w:szCs w:val="24"/>
        </w:rPr>
      </w:pPr>
      <w:r>
        <w:rPr>
          <w:rFonts w:ascii="Times New Roman" w:hAnsi="Times New Roman" w:cs="Times New Roman"/>
          <w:sz w:val="24"/>
          <w:szCs w:val="24"/>
        </w:rPr>
        <w:t xml:space="preserve">March 20, </w:t>
      </w:r>
      <w:r w:rsidR="00B963E0" w:rsidRPr="00BF65CC">
        <w:rPr>
          <w:rFonts w:ascii="Times New Roman" w:hAnsi="Times New Roman" w:cs="Times New Roman"/>
          <w:sz w:val="24"/>
          <w:szCs w:val="24"/>
        </w:rPr>
        <w:t>2014</w:t>
      </w:r>
    </w:p>
    <w:p w:rsidR="00B963E0" w:rsidRPr="00BF65CC" w:rsidRDefault="00B963E0" w:rsidP="00B963E0">
      <w:pPr>
        <w:spacing w:after="0"/>
        <w:jc w:val="both"/>
        <w:rPr>
          <w:rFonts w:ascii="Times New Roman" w:hAnsi="Times New Roman" w:cs="Times New Roman"/>
          <w:sz w:val="24"/>
          <w:szCs w:val="24"/>
        </w:rPr>
      </w:pPr>
    </w:p>
    <w:p w:rsidR="00B963E0" w:rsidRPr="005C4FD7" w:rsidRDefault="00B963E0" w:rsidP="00B963E0">
      <w:pPr>
        <w:spacing w:after="0"/>
        <w:jc w:val="center"/>
        <w:rPr>
          <w:rFonts w:ascii="Times New Roman" w:hAnsi="Times New Roman" w:cs="Times New Roman"/>
          <w:b/>
          <w:noProof/>
          <w:sz w:val="36"/>
          <w:szCs w:val="24"/>
          <w:u w:val="single"/>
        </w:rPr>
      </w:pPr>
      <w:r w:rsidRPr="005C4FD7">
        <w:rPr>
          <w:rFonts w:ascii="Times New Roman" w:hAnsi="Times New Roman" w:cs="Times New Roman"/>
          <w:b/>
          <w:noProof/>
          <w:sz w:val="36"/>
          <w:szCs w:val="24"/>
          <w:u w:val="single"/>
        </w:rPr>
        <w:t>Report</w:t>
      </w:r>
    </w:p>
    <w:p w:rsidR="00B963E0" w:rsidRPr="005C4FD7" w:rsidRDefault="00B963E0" w:rsidP="00B963E0">
      <w:pPr>
        <w:spacing w:after="0"/>
        <w:jc w:val="center"/>
        <w:rPr>
          <w:rFonts w:ascii="Times New Roman" w:hAnsi="Times New Roman" w:cs="Times New Roman"/>
          <w:noProof/>
          <w:sz w:val="28"/>
          <w:szCs w:val="24"/>
        </w:rPr>
      </w:pPr>
      <w:r w:rsidRPr="005C4FD7">
        <w:rPr>
          <w:rFonts w:ascii="Times New Roman" w:hAnsi="Times New Roman" w:cs="Times New Roman"/>
          <w:noProof/>
          <w:sz w:val="28"/>
          <w:szCs w:val="24"/>
        </w:rPr>
        <w:t>Four (4) Consecutive Quarters of Growth in the Agriculture Sector</w:t>
      </w:r>
    </w:p>
    <w:p w:rsidR="00B963E0" w:rsidRPr="005C4FD7" w:rsidRDefault="00B963E0" w:rsidP="00B963E0">
      <w:pPr>
        <w:spacing w:after="0"/>
        <w:jc w:val="center"/>
        <w:rPr>
          <w:rFonts w:ascii="Times New Roman" w:hAnsi="Times New Roman" w:cs="Times New Roman"/>
          <w:b/>
          <w:noProof/>
          <w:sz w:val="28"/>
          <w:szCs w:val="24"/>
        </w:rPr>
      </w:pPr>
      <w:r w:rsidRPr="005C4FD7">
        <w:rPr>
          <w:rFonts w:ascii="Times New Roman" w:hAnsi="Times New Roman" w:cs="Times New Roman"/>
          <w:b/>
          <w:noProof/>
          <w:sz w:val="28"/>
          <w:szCs w:val="24"/>
        </w:rPr>
        <w:t>Ministry of Food Production 2013</w:t>
      </w:r>
    </w:p>
    <w:p w:rsidR="00B963E0" w:rsidRDefault="00B963E0" w:rsidP="00B963E0">
      <w:pPr>
        <w:spacing w:after="0"/>
        <w:jc w:val="both"/>
        <w:rPr>
          <w:rFonts w:ascii="Times New Roman" w:hAnsi="Times New Roman" w:cs="Times New Roman"/>
          <w:noProof/>
          <w:sz w:val="24"/>
          <w:szCs w:val="24"/>
        </w:rPr>
      </w:pPr>
    </w:p>
    <w:p w:rsidR="00C6322C" w:rsidRPr="00BF65CC" w:rsidRDefault="00C6322C" w:rsidP="00B963E0">
      <w:pPr>
        <w:spacing w:after="0"/>
        <w:jc w:val="both"/>
        <w:rPr>
          <w:rFonts w:ascii="Times New Roman" w:hAnsi="Times New Roman" w:cs="Times New Roman"/>
          <w:noProof/>
          <w:sz w:val="24"/>
          <w:szCs w:val="24"/>
        </w:rPr>
      </w:pPr>
      <w:bookmarkStart w:id="0" w:name="_GoBack"/>
      <w:bookmarkEnd w:id="0"/>
    </w:p>
    <w:p w:rsidR="00B963E0" w:rsidRPr="00BF65CC" w:rsidRDefault="00B963E0" w:rsidP="00B963E0">
      <w:pPr>
        <w:spacing w:after="0"/>
        <w:jc w:val="both"/>
        <w:rPr>
          <w:rFonts w:ascii="Times New Roman" w:hAnsi="Times New Roman" w:cs="Times New Roman"/>
          <w:noProof/>
          <w:sz w:val="24"/>
          <w:szCs w:val="24"/>
        </w:rPr>
      </w:pPr>
      <w:r w:rsidRPr="00BF65CC">
        <w:rPr>
          <w:rFonts w:ascii="Times New Roman" w:hAnsi="Times New Roman" w:cs="Times New Roman"/>
          <w:b/>
          <w:noProof/>
          <w:sz w:val="24"/>
          <w:szCs w:val="24"/>
        </w:rPr>
        <w:t>INTRODUCTION</w:t>
      </w:r>
    </w:p>
    <w:p w:rsidR="00B963E0" w:rsidRPr="00BF65CC" w:rsidRDefault="00B963E0" w:rsidP="00B963E0">
      <w:pPr>
        <w:spacing w:after="0"/>
        <w:jc w:val="both"/>
        <w:rPr>
          <w:rFonts w:ascii="Times New Roman" w:hAnsi="Times New Roman" w:cs="Times New Roman"/>
          <w:noProof/>
          <w:sz w:val="24"/>
          <w:szCs w:val="24"/>
        </w:rPr>
      </w:pPr>
    </w:p>
    <w:p w:rsidR="00B963E0" w:rsidRDefault="00B963E0" w:rsidP="00B963E0">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The Government’s overarching goal for the agriculture sector is </w:t>
      </w:r>
      <w:r>
        <w:rPr>
          <w:rFonts w:ascii="Times New Roman" w:hAnsi="Times New Roman" w:cs="Times New Roman"/>
          <w:b/>
          <w:sz w:val="24"/>
          <w:szCs w:val="24"/>
        </w:rPr>
        <w:t>to create a food secure nation</w:t>
      </w:r>
      <w:r>
        <w:rPr>
          <w:rFonts w:ascii="Times New Roman" w:hAnsi="Times New Roman" w:cs="Times New Roman"/>
          <w:sz w:val="24"/>
          <w:szCs w:val="24"/>
        </w:rPr>
        <w:t>. In this regard, the Ministry of Food Production (MFP) has developed an action plan for 2012 – 2015 which is premised on the pursuit of increasing the country’s food security.</w:t>
      </w:r>
    </w:p>
    <w:p w:rsidR="00B963E0" w:rsidRDefault="00B963E0" w:rsidP="00B963E0">
      <w:pPr>
        <w:autoSpaceDE w:val="0"/>
        <w:autoSpaceDN w:val="0"/>
        <w:adjustRightInd w:val="0"/>
        <w:spacing w:after="0"/>
        <w:jc w:val="both"/>
        <w:rPr>
          <w:rFonts w:ascii="Times New Roman" w:hAnsi="Times New Roman" w:cs="Times New Roman"/>
          <w:sz w:val="24"/>
          <w:szCs w:val="24"/>
        </w:rPr>
      </w:pPr>
    </w:p>
    <w:p w:rsidR="00B963E0" w:rsidRDefault="00B963E0" w:rsidP="00B963E0">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Food Security was defined at the FAO World Summit of 1996 as existing “</w:t>
      </w:r>
      <w:r>
        <w:rPr>
          <w:rFonts w:ascii="Times New Roman" w:hAnsi="Times New Roman" w:cs="Times New Roman"/>
          <w:b/>
          <w:i/>
          <w:sz w:val="24"/>
          <w:szCs w:val="24"/>
        </w:rPr>
        <w:t>when all people at all times have access to sufficient, safe, nutritious food to maintain a healthy and active life.</w:t>
      </w:r>
      <w:r>
        <w:rPr>
          <w:rFonts w:ascii="Times New Roman" w:hAnsi="Times New Roman" w:cs="Times New Roman"/>
          <w:sz w:val="24"/>
          <w:szCs w:val="24"/>
        </w:rPr>
        <w:t>”</w:t>
      </w:r>
    </w:p>
    <w:p w:rsidR="00B963E0" w:rsidRDefault="00B963E0" w:rsidP="00B963E0">
      <w:pPr>
        <w:autoSpaceDE w:val="0"/>
        <w:autoSpaceDN w:val="0"/>
        <w:adjustRightInd w:val="0"/>
        <w:spacing w:after="0"/>
        <w:jc w:val="both"/>
        <w:rPr>
          <w:rFonts w:ascii="Times New Roman" w:hAnsi="Times New Roman" w:cs="Times New Roman"/>
          <w:sz w:val="24"/>
          <w:szCs w:val="24"/>
        </w:rPr>
      </w:pPr>
    </w:p>
    <w:p w:rsidR="00B963E0" w:rsidRDefault="00B963E0" w:rsidP="00B963E0">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The Ministry of Food Production recognizes that the country is on a tight rope as far as food security is concerned and if action is not taken Trinidad and Tobago may find itself in a position where it has money but unable to purchase food. The mandate of the MFP is to grow locally and make available to citizens, quality (safe and nutritious) but affordable foods in sufficient quantities to ensure our food and nutrition security, and in so doing, provide an attractive and profitable livelihood for all producers.</w:t>
      </w:r>
    </w:p>
    <w:p w:rsidR="00B963E0" w:rsidRDefault="00B963E0" w:rsidP="00B963E0">
      <w:pPr>
        <w:autoSpaceDE w:val="0"/>
        <w:autoSpaceDN w:val="0"/>
        <w:adjustRightInd w:val="0"/>
        <w:spacing w:after="0"/>
        <w:jc w:val="both"/>
        <w:rPr>
          <w:rFonts w:ascii="Times New Roman" w:hAnsi="Times New Roman" w:cs="Times New Roman"/>
          <w:sz w:val="24"/>
          <w:szCs w:val="24"/>
        </w:rPr>
      </w:pPr>
    </w:p>
    <w:p w:rsidR="00B963E0" w:rsidRDefault="00B963E0" w:rsidP="00B963E0">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By providing a unified direction, this comprehensive plan (2012 – 2015) aligns resources with national priorities and intends to create a platform for the National Government and private sector to venture into strategic partnerships to effectively mobilize and utilize available land and marine resources,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human resources and technology. It will allow stakeholders to actively participate in the development of a sector with the potential to extend into national economic and social development.</w:t>
      </w:r>
    </w:p>
    <w:p w:rsidR="00B963E0" w:rsidRDefault="00B963E0" w:rsidP="00B963E0">
      <w:pPr>
        <w:autoSpaceDE w:val="0"/>
        <w:autoSpaceDN w:val="0"/>
        <w:adjustRightInd w:val="0"/>
        <w:spacing w:after="0"/>
        <w:jc w:val="both"/>
        <w:rPr>
          <w:rFonts w:ascii="Times New Roman" w:hAnsi="Times New Roman" w:cs="Times New Roman"/>
          <w:sz w:val="24"/>
          <w:szCs w:val="24"/>
        </w:rPr>
      </w:pPr>
    </w:p>
    <w:p w:rsidR="00B963E0" w:rsidRDefault="00B963E0" w:rsidP="00B963E0">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The approach will result in:</w:t>
      </w:r>
    </w:p>
    <w:p w:rsidR="00B963E0" w:rsidRDefault="00B963E0" w:rsidP="00B963E0">
      <w:pPr>
        <w:pStyle w:val="ListParagraph"/>
        <w:numPr>
          <w:ilvl w:val="0"/>
          <w:numId w:val="1"/>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reduction in the food import bill,</w:t>
      </w:r>
    </w:p>
    <w:p w:rsidR="00B963E0" w:rsidRDefault="00B963E0" w:rsidP="00B963E0">
      <w:pPr>
        <w:pStyle w:val="ListParagraph"/>
        <w:numPr>
          <w:ilvl w:val="0"/>
          <w:numId w:val="1"/>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further reduction in inflation, primarily driven by food prices,</w:t>
      </w:r>
    </w:p>
    <w:p w:rsidR="00B963E0" w:rsidRDefault="00B963E0" w:rsidP="00B963E0">
      <w:pPr>
        <w:pStyle w:val="ListParagraph"/>
        <w:numPr>
          <w:ilvl w:val="0"/>
          <w:numId w:val="1"/>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lastRenderedPageBreak/>
        <w:t>creation of sustainable, long term productive employment, and</w:t>
      </w:r>
    </w:p>
    <w:p w:rsidR="00B963E0" w:rsidRPr="000A70D6" w:rsidRDefault="00B963E0" w:rsidP="00B963E0">
      <w:pPr>
        <w:pStyle w:val="ListParagraph"/>
        <w:numPr>
          <w:ilvl w:val="0"/>
          <w:numId w:val="1"/>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contribution to the diversification of the economy</w:t>
      </w:r>
    </w:p>
    <w:p w:rsidR="005C4FD7" w:rsidRDefault="005C4FD7" w:rsidP="00B963E0">
      <w:pPr>
        <w:tabs>
          <w:tab w:val="left" w:pos="6780"/>
        </w:tabs>
        <w:spacing w:after="0"/>
        <w:jc w:val="both"/>
        <w:rPr>
          <w:rFonts w:ascii="Times New Roman" w:hAnsi="Times New Roman" w:cs="Times New Roman"/>
          <w:b/>
          <w:sz w:val="24"/>
          <w:szCs w:val="24"/>
        </w:rPr>
      </w:pPr>
    </w:p>
    <w:p w:rsidR="00611FD9" w:rsidRDefault="00611FD9" w:rsidP="00B963E0">
      <w:pPr>
        <w:tabs>
          <w:tab w:val="left" w:pos="6780"/>
        </w:tabs>
        <w:spacing w:after="0"/>
        <w:jc w:val="both"/>
        <w:rPr>
          <w:rFonts w:ascii="Times New Roman" w:hAnsi="Times New Roman" w:cs="Times New Roman"/>
          <w:b/>
          <w:sz w:val="24"/>
          <w:szCs w:val="24"/>
        </w:rPr>
      </w:pPr>
    </w:p>
    <w:p w:rsidR="00B963E0" w:rsidRDefault="00B963E0" w:rsidP="00B963E0">
      <w:pPr>
        <w:tabs>
          <w:tab w:val="left" w:pos="6780"/>
        </w:tabs>
        <w:spacing w:after="0"/>
        <w:jc w:val="both"/>
        <w:rPr>
          <w:rFonts w:ascii="Times New Roman" w:hAnsi="Times New Roman" w:cs="Times New Roman"/>
          <w:b/>
          <w:sz w:val="24"/>
          <w:szCs w:val="24"/>
        </w:rPr>
      </w:pPr>
      <w:r>
        <w:rPr>
          <w:rFonts w:ascii="Times New Roman" w:hAnsi="Times New Roman" w:cs="Times New Roman"/>
          <w:b/>
          <w:sz w:val="24"/>
          <w:szCs w:val="24"/>
        </w:rPr>
        <w:t>PERFORMANCE INDICATORS</w:t>
      </w:r>
    </w:p>
    <w:p w:rsidR="00B963E0" w:rsidRPr="002D15FD" w:rsidRDefault="00B963E0" w:rsidP="00B963E0">
      <w:pPr>
        <w:tabs>
          <w:tab w:val="left" w:pos="6780"/>
        </w:tabs>
        <w:spacing w:after="0"/>
        <w:jc w:val="both"/>
        <w:rPr>
          <w:rFonts w:ascii="Times New Roman" w:hAnsi="Times New Roman" w:cs="Times New Roman"/>
          <w:b/>
          <w:sz w:val="24"/>
          <w:szCs w:val="24"/>
        </w:rPr>
      </w:pPr>
    </w:p>
    <w:p w:rsidR="00B963E0" w:rsidRDefault="00B963E0" w:rsidP="00B963E0">
      <w:pPr>
        <w:autoSpaceDE w:val="0"/>
        <w:autoSpaceDN w:val="0"/>
        <w:adjustRightInd w:val="0"/>
        <w:spacing w:after="0"/>
        <w:jc w:val="both"/>
        <w:rPr>
          <w:rFonts w:ascii="TimesNewRomanPSMT" w:hAnsi="TimesNewRomanPSMT" w:cs="TimesNewRomanPSMT"/>
          <w:sz w:val="24"/>
          <w:szCs w:val="24"/>
          <w:lang w:val="en-TT"/>
        </w:rPr>
      </w:pPr>
      <w:r>
        <w:rPr>
          <w:rFonts w:ascii="TimesNewRomanPSMT" w:hAnsi="TimesNewRomanPSMT" w:cs="TimesNewRomanPSMT"/>
          <w:sz w:val="24"/>
          <w:szCs w:val="24"/>
          <w:lang w:val="en-TT"/>
        </w:rPr>
        <w:t xml:space="preserve">Food Security is a major goal of the Government. The objective is to develop a highly </w:t>
      </w:r>
      <w:r>
        <w:rPr>
          <w:rFonts w:ascii="Times New Roman" w:hAnsi="Times New Roman" w:cs="Times New Roman"/>
          <w:sz w:val="24"/>
          <w:szCs w:val="24"/>
          <w:lang w:val="en-TT"/>
        </w:rPr>
        <w:t xml:space="preserve">productive agricultural sector that is modernised and internationally competitive and that generates sustainable income levels for producers comparable to those obtained in other sectors </w:t>
      </w:r>
      <w:r>
        <w:rPr>
          <w:rFonts w:ascii="TimesNewRomanPSMT" w:hAnsi="TimesNewRomanPSMT" w:cs="TimesNewRomanPSMT"/>
          <w:sz w:val="24"/>
          <w:szCs w:val="24"/>
          <w:lang w:val="en-TT"/>
        </w:rPr>
        <w:t>of the economy.</w:t>
      </w:r>
    </w:p>
    <w:p w:rsidR="00B963E0" w:rsidRDefault="00B963E0" w:rsidP="00B963E0">
      <w:pPr>
        <w:autoSpaceDE w:val="0"/>
        <w:autoSpaceDN w:val="0"/>
        <w:adjustRightInd w:val="0"/>
        <w:spacing w:after="0"/>
        <w:jc w:val="both"/>
        <w:rPr>
          <w:rFonts w:ascii="TimesNewRomanPSMT" w:hAnsi="TimesNewRomanPSMT" w:cs="TimesNewRomanPSMT"/>
          <w:sz w:val="24"/>
          <w:szCs w:val="24"/>
          <w:lang w:val="en-TT"/>
        </w:rPr>
      </w:pPr>
    </w:p>
    <w:p w:rsidR="00B963E0" w:rsidRDefault="00B963E0" w:rsidP="00B963E0">
      <w:pPr>
        <w:autoSpaceDE w:val="0"/>
        <w:autoSpaceDN w:val="0"/>
        <w:adjustRightInd w:val="0"/>
        <w:spacing w:after="0"/>
        <w:jc w:val="both"/>
        <w:rPr>
          <w:rFonts w:ascii="TimesNewRomanPSMT" w:hAnsi="TimesNewRomanPSMT" w:cs="TimesNewRomanPSMT"/>
          <w:sz w:val="24"/>
          <w:szCs w:val="24"/>
          <w:lang w:val="en-TT"/>
        </w:rPr>
      </w:pPr>
      <w:r>
        <w:rPr>
          <w:rFonts w:ascii="TimesNewRomanPSMT" w:hAnsi="TimesNewRomanPSMT" w:cs="TimesNewRomanPSMT"/>
          <w:sz w:val="24"/>
          <w:szCs w:val="24"/>
          <w:lang w:val="en-TT"/>
        </w:rPr>
        <w:t>The performance of the domestic agriculture sector was favourable for 2013. Comparatively better weather conditions, increases in acreage under cultivation and the continuation of targeted policies significantly contributed to growth for the period. The Agriculture and Food Security Medium-term objectives for the sector include:</w:t>
      </w:r>
    </w:p>
    <w:p w:rsidR="00B963E0" w:rsidRDefault="00B963E0" w:rsidP="00B963E0">
      <w:pPr>
        <w:autoSpaceDE w:val="0"/>
        <w:autoSpaceDN w:val="0"/>
        <w:adjustRightInd w:val="0"/>
        <w:spacing w:after="0"/>
        <w:jc w:val="both"/>
        <w:rPr>
          <w:rFonts w:ascii="TimesNewRomanPSMT" w:hAnsi="TimesNewRomanPSMT" w:cs="TimesNewRomanPSMT"/>
          <w:sz w:val="24"/>
          <w:szCs w:val="24"/>
          <w:lang w:val="en-TT"/>
        </w:rPr>
      </w:pPr>
    </w:p>
    <w:p w:rsidR="00B963E0" w:rsidRDefault="00B963E0" w:rsidP="00B963E0">
      <w:pPr>
        <w:pStyle w:val="ListParagraph"/>
        <w:numPr>
          <w:ilvl w:val="0"/>
          <w:numId w:val="2"/>
        </w:numPr>
        <w:autoSpaceDE w:val="0"/>
        <w:autoSpaceDN w:val="0"/>
        <w:adjustRightInd w:val="0"/>
        <w:spacing w:after="0"/>
        <w:jc w:val="both"/>
        <w:rPr>
          <w:rFonts w:ascii="TimesNewRomanPSMT" w:hAnsi="TimesNewRomanPSMT" w:cs="TimesNewRomanPSMT"/>
          <w:sz w:val="24"/>
          <w:szCs w:val="24"/>
          <w:lang w:val="en-TT"/>
        </w:rPr>
      </w:pPr>
      <w:r>
        <w:rPr>
          <w:rFonts w:ascii="TimesNewRomanPSMT" w:hAnsi="TimesNewRomanPSMT" w:cs="TimesNewRomanPSMT"/>
          <w:sz w:val="24"/>
          <w:szCs w:val="24"/>
          <w:lang w:val="en-TT"/>
        </w:rPr>
        <w:t>Reduce the food import bill</w:t>
      </w:r>
    </w:p>
    <w:p w:rsidR="00B963E0" w:rsidRDefault="00B963E0" w:rsidP="00B963E0">
      <w:pPr>
        <w:pStyle w:val="ListParagraph"/>
        <w:numPr>
          <w:ilvl w:val="0"/>
          <w:numId w:val="2"/>
        </w:numPr>
        <w:autoSpaceDE w:val="0"/>
        <w:autoSpaceDN w:val="0"/>
        <w:adjustRightInd w:val="0"/>
        <w:spacing w:after="0"/>
        <w:jc w:val="both"/>
        <w:rPr>
          <w:rFonts w:ascii="TimesNewRomanPSMT" w:hAnsi="TimesNewRomanPSMT" w:cs="TimesNewRomanPSMT"/>
          <w:sz w:val="24"/>
          <w:szCs w:val="24"/>
          <w:lang w:val="en-TT"/>
        </w:rPr>
      </w:pPr>
      <w:r>
        <w:rPr>
          <w:rFonts w:ascii="TimesNewRomanPSMT" w:hAnsi="TimesNewRomanPSMT" w:cs="TimesNewRomanPSMT"/>
          <w:sz w:val="24"/>
          <w:szCs w:val="24"/>
          <w:lang w:val="en-TT"/>
        </w:rPr>
        <w:t>Reduce the rate of food inflation and sustain it within single digits</w:t>
      </w:r>
    </w:p>
    <w:p w:rsidR="00B963E0" w:rsidRDefault="00B963E0" w:rsidP="00B963E0">
      <w:pPr>
        <w:pStyle w:val="ListParagraph"/>
        <w:numPr>
          <w:ilvl w:val="0"/>
          <w:numId w:val="2"/>
        </w:numPr>
        <w:autoSpaceDE w:val="0"/>
        <w:autoSpaceDN w:val="0"/>
        <w:adjustRightInd w:val="0"/>
        <w:spacing w:after="0"/>
        <w:jc w:val="both"/>
        <w:rPr>
          <w:rFonts w:ascii="TimesNewRomanPSMT" w:hAnsi="TimesNewRomanPSMT" w:cs="TimesNewRomanPSMT"/>
          <w:sz w:val="24"/>
          <w:szCs w:val="24"/>
          <w:lang w:val="en-TT"/>
        </w:rPr>
      </w:pPr>
      <w:r>
        <w:rPr>
          <w:rFonts w:ascii="TimesNewRomanPSMT" w:hAnsi="TimesNewRomanPSMT" w:cs="TimesNewRomanPSMT"/>
          <w:sz w:val="24"/>
          <w:szCs w:val="24"/>
          <w:lang w:val="en-TT"/>
        </w:rPr>
        <w:t>Create sustainable, long-term productive employment in the sector to support a national unemployment level that is under 7%</w:t>
      </w:r>
    </w:p>
    <w:p w:rsidR="00B963E0" w:rsidRDefault="00B963E0" w:rsidP="00B963E0">
      <w:pPr>
        <w:pStyle w:val="ListParagraph"/>
        <w:numPr>
          <w:ilvl w:val="0"/>
          <w:numId w:val="2"/>
        </w:numPr>
        <w:autoSpaceDE w:val="0"/>
        <w:autoSpaceDN w:val="0"/>
        <w:adjustRightInd w:val="0"/>
        <w:spacing w:after="0"/>
        <w:jc w:val="both"/>
        <w:rPr>
          <w:rFonts w:ascii="TimesNewRomanPSMT" w:hAnsi="TimesNewRomanPSMT" w:cs="TimesNewRomanPSMT"/>
          <w:sz w:val="24"/>
          <w:szCs w:val="24"/>
          <w:lang w:val="en-TT"/>
        </w:rPr>
      </w:pPr>
      <w:r>
        <w:rPr>
          <w:rFonts w:ascii="TimesNewRomanPSMT" w:hAnsi="TimesNewRomanPSMT" w:cs="TimesNewRomanPSMT"/>
          <w:sz w:val="24"/>
          <w:szCs w:val="24"/>
          <w:lang w:val="en-TT"/>
        </w:rPr>
        <w:t>Increase the sector’s contribution to GDP</w:t>
      </w:r>
    </w:p>
    <w:p w:rsidR="00B963E0" w:rsidRPr="00D124C4" w:rsidRDefault="00B963E0" w:rsidP="00B963E0">
      <w:pPr>
        <w:pStyle w:val="ListParagraph"/>
        <w:numPr>
          <w:ilvl w:val="0"/>
          <w:numId w:val="2"/>
        </w:numPr>
        <w:autoSpaceDE w:val="0"/>
        <w:autoSpaceDN w:val="0"/>
        <w:adjustRightInd w:val="0"/>
        <w:spacing w:after="0"/>
        <w:jc w:val="both"/>
        <w:rPr>
          <w:rFonts w:ascii="TimesNewRomanPSMT" w:hAnsi="TimesNewRomanPSMT" w:cs="TimesNewRomanPSMT"/>
          <w:sz w:val="24"/>
          <w:szCs w:val="24"/>
          <w:lang w:val="en-TT"/>
        </w:rPr>
      </w:pPr>
      <w:r>
        <w:rPr>
          <w:rFonts w:ascii="TimesNewRomanPSMT" w:hAnsi="TimesNewRomanPSMT" w:cs="TimesNewRomanPSMT"/>
          <w:sz w:val="24"/>
          <w:szCs w:val="24"/>
          <w:lang w:val="en-TT"/>
        </w:rPr>
        <w:t>Create a food secure nation</w:t>
      </w:r>
    </w:p>
    <w:p w:rsidR="00B963E0" w:rsidRDefault="00B963E0" w:rsidP="00B963E0">
      <w:pPr>
        <w:tabs>
          <w:tab w:val="left" w:pos="6780"/>
        </w:tabs>
        <w:spacing w:after="0"/>
        <w:jc w:val="both"/>
        <w:rPr>
          <w:rFonts w:ascii="Times New Roman" w:hAnsi="Times New Roman" w:cs="Times New Roman"/>
          <w:b/>
          <w:sz w:val="24"/>
          <w:szCs w:val="24"/>
        </w:rPr>
      </w:pPr>
    </w:p>
    <w:p w:rsidR="00611FD9" w:rsidRPr="00A814F3" w:rsidRDefault="00611FD9" w:rsidP="00B963E0">
      <w:pPr>
        <w:tabs>
          <w:tab w:val="left" w:pos="6780"/>
        </w:tabs>
        <w:spacing w:after="0"/>
        <w:jc w:val="both"/>
        <w:rPr>
          <w:rFonts w:ascii="Times New Roman" w:hAnsi="Times New Roman" w:cs="Times New Roman"/>
          <w:i/>
          <w:sz w:val="24"/>
          <w:szCs w:val="24"/>
        </w:rPr>
      </w:pPr>
      <w:r w:rsidRPr="00A814F3">
        <w:rPr>
          <w:rFonts w:ascii="Times New Roman" w:hAnsi="Times New Roman" w:cs="Times New Roman"/>
          <w:b/>
          <w:i/>
          <w:sz w:val="24"/>
          <w:szCs w:val="24"/>
        </w:rPr>
        <w:t>Results</w:t>
      </w:r>
    </w:p>
    <w:p w:rsidR="00611FD9" w:rsidRPr="00611FD9" w:rsidRDefault="00611FD9" w:rsidP="00611FD9">
      <w:pPr>
        <w:spacing w:after="0"/>
        <w:jc w:val="both"/>
        <w:rPr>
          <w:rFonts w:ascii="Times New Roman" w:hAnsi="Times New Roman" w:cs="Times New Roman"/>
          <w:sz w:val="24"/>
          <w:szCs w:val="24"/>
        </w:rPr>
      </w:pPr>
      <w:r w:rsidRPr="00611FD9">
        <w:rPr>
          <w:rFonts w:ascii="Times New Roman" w:hAnsi="Times New Roman" w:cs="Times New Roman"/>
          <w:sz w:val="24"/>
          <w:szCs w:val="24"/>
        </w:rPr>
        <w:t>The growth experienced in the Agricultural Sector occurred due to the continued efforts by the Government of the Republic of Trinidad and Tobago. Growth of the sector was also driven by a number of other initiatives including:-</w:t>
      </w:r>
    </w:p>
    <w:p w:rsidR="00611FD9" w:rsidRPr="00611FD9" w:rsidRDefault="00611FD9" w:rsidP="00611FD9">
      <w:pPr>
        <w:pStyle w:val="ListParagraph"/>
        <w:spacing w:after="0" w:line="240" w:lineRule="auto"/>
        <w:ind w:left="567"/>
        <w:jc w:val="both"/>
        <w:rPr>
          <w:rFonts w:ascii="Times New Roman" w:hAnsi="Times New Roman" w:cs="Times New Roman"/>
          <w:sz w:val="24"/>
          <w:szCs w:val="24"/>
        </w:rPr>
      </w:pPr>
    </w:p>
    <w:p w:rsidR="00611FD9" w:rsidRPr="00611FD9" w:rsidRDefault="00611FD9" w:rsidP="00611FD9">
      <w:pPr>
        <w:pStyle w:val="ListParagraph"/>
        <w:numPr>
          <w:ilvl w:val="0"/>
          <w:numId w:val="4"/>
        </w:numPr>
        <w:spacing w:after="0" w:line="240" w:lineRule="auto"/>
        <w:ind w:left="1134" w:hanging="708"/>
        <w:jc w:val="both"/>
        <w:rPr>
          <w:rFonts w:ascii="Times New Roman" w:hAnsi="Times New Roman" w:cs="Times New Roman"/>
          <w:sz w:val="24"/>
          <w:szCs w:val="24"/>
        </w:rPr>
      </w:pPr>
      <w:r w:rsidRPr="00611FD9">
        <w:rPr>
          <w:rFonts w:ascii="Times New Roman" w:hAnsi="Times New Roman" w:cs="Times New Roman"/>
          <w:sz w:val="24"/>
          <w:szCs w:val="24"/>
        </w:rPr>
        <w:t>the $1.9B allocation that was made to the sector in the National Budget in 2012;</w:t>
      </w:r>
    </w:p>
    <w:p w:rsidR="00611FD9" w:rsidRPr="00611FD9" w:rsidRDefault="00611FD9" w:rsidP="00611FD9">
      <w:pPr>
        <w:spacing w:after="0" w:line="240" w:lineRule="auto"/>
        <w:ind w:left="1134" w:hanging="708"/>
        <w:contextualSpacing/>
        <w:jc w:val="both"/>
        <w:rPr>
          <w:rFonts w:ascii="Times New Roman" w:hAnsi="Times New Roman" w:cs="Times New Roman"/>
          <w:sz w:val="24"/>
          <w:szCs w:val="24"/>
        </w:rPr>
      </w:pPr>
    </w:p>
    <w:p w:rsidR="00611FD9" w:rsidRPr="00611FD9" w:rsidRDefault="00611FD9" w:rsidP="00611FD9">
      <w:pPr>
        <w:pStyle w:val="ListParagraph"/>
        <w:numPr>
          <w:ilvl w:val="0"/>
          <w:numId w:val="4"/>
        </w:numPr>
        <w:spacing w:after="0" w:line="240" w:lineRule="auto"/>
        <w:ind w:left="1134" w:hanging="708"/>
        <w:jc w:val="both"/>
        <w:rPr>
          <w:rFonts w:ascii="Times New Roman" w:hAnsi="Times New Roman" w:cs="Times New Roman"/>
          <w:sz w:val="24"/>
          <w:szCs w:val="24"/>
        </w:rPr>
      </w:pPr>
      <w:r w:rsidRPr="00611FD9">
        <w:rPr>
          <w:rFonts w:ascii="Times New Roman" w:hAnsi="Times New Roman" w:cs="Times New Roman"/>
          <w:sz w:val="24"/>
          <w:szCs w:val="24"/>
        </w:rPr>
        <w:t>the launch of the Commercial Large Farm initiative;</w:t>
      </w:r>
    </w:p>
    <w:p w:rsidR="00611FD9" w:rsidRPr="00611FD9" w:rsidRDefault="00611FD9" w:rsidP="00611FD9">
      <w:pPr>
        <w:pStyle w:val="ListParagraph"/>
        <w:spacing w:after="0" w:line="240" w:lineRule="auto"/>
        <w:ind w:left="1134" w:hanging="708"/>
        <w:rPr>
          <w:rFonts w:ascii="Times New Roman" w:hAnsi="Times New Roman" w:cs="Times New Roman"/>
          <w:sz w:val="24"/>
          <w:szCs w:val="24"/>
        </w:rPr>
      </w:pPr>
    </w:p>
    <w:p w:rsidR="00611FD9" w:rsidRPr="00611FD9" w:rsidRDefault="00611FD9" w:rsidP="00611FD9">
      <w:pPr>
        <w:numPr>
          <w:ilvl w:val="0"/>
          <w:numId w:val="4"/>
        </w:numPr>
        <w:spacing w:after="0" w:line="240" w:lineRule="auto"/>
        <w:ind w:left="1134" w:hanging="708"/>
        <w:contextualSpacing/>
        <w:jc w:val="both"/>
        <w:rPr>
          <w:rFonts w:ascii="Times New Roman" w:hAnsi="Times New Roman" w:cs="Times New Roman"/>
          <w:sz w:val="24"/>
          <w:szCs w:val="24"/>
        </w:rPr>
      </w:pPr>
      <w:r w:rsidRPr="00611FD9">
        <w:rPr>
          <w:rFonts w:ascii="Times New Roman" w:hAnsi="Times New Roman" w:cs="Times New Roman"/>
          <w:sz w:val="24"/>
          <w:szCs w:val="24"/>
        </w:rPr>
        <w:t>the Ministry also revamped and restructured its Agricultural Incentive Program; and</w:t>
      </w:r>
    </w:p>
    <w:p w:rsidR="00611FD9" w:rsidRPr="00611FD9" w:rsidRDefault="00611FD9" w:rsidP="00611FD9">
      <w:pPr>
        <w:spacing w:after="0" w:line="240" w:lineRule="auto"/>
        <w:ind w:left="1134" w:hanging="708"/>
        <w:contextualSpacing/>
        <w:jc w:val="both"/>
        <w:rPr>
          <w:rFonts w:ascii="Times New Roman" w:hAnsi="Times New Roman" w:cs="Times New Roman"/>
          <w:sz w:val="24"/>
          <w:szCs w:val="24"/>
        </w:rPr>
      </w:pPr>
    </w:p>
    <w:p w:rsidR="00611FD9" w:rsidRPr="00611FD9" w:rsidRDefault="00611FD9" w:rsidP="00611FD9">
      <w:pPr>
        <w:numPr>
          <w:ilvl w:val="0"/>
          <w:numId w:val="4"/>
        </w:numPr>
        <w:spacing w:after="0" w:line="240" w:lineRule="auto"/>
        <w:ind w:left="1134" w:hanging="708"/>
        <w:contextualSpacing/>
        <w:jc w:val="both"/>
        <w:rPr>
          <w:rFonts w:ascii="Times New Roman" w:hAnsi="Times New Roman" w:cs="Times New Roman"/>
          <w:sz w:val="24"/>
          <w:szCs w:val="24"/>
        </w:rPr>
      </w:pPr>
      <w:proofErr w:type="gramStart"/>
      <w:r w:rsidRPr="00611FD9">
        <w:rPr>
          <w:rFonts w:ascii="Times New Roman" w:hAnsi="Times New Roman" w:cs="Times New Roman"/>
          <w:sz w:val="24"/>
          <w:szCs w:val="24"/>
        </w:rPr>
        <w:t>the</w:t>
      </w:r>
      <w:proofErr w:type="gramEnd"/>
      <w:r w:rsidRPr="00611FD9">
        <w:rPr>
          <w:rFonts w:ascii="Times New Roman" w:hAnsi="Times New Roman" w:cs="Times New Roman"/>
          <w:sz w:val="24"/>
          <w:szCs w:val="24"/>
        </w:rPr>
        <w:t xml:space="preserve"> increase in the access to lands through the award of leases.</w:t>
      </w:r>
    </w:p>
    <w:p w:rsidR="00611FD9" w:rsidRPr="00611FD9" w:rsidRDefault="00611FD9" w:rsidP="00B963E0">
      <w:pPr>
        <w:tabs>
          <w:tab w:val="left" w:pos="6780"/>
        </w:tabs>
        <w:spacing w:after="0"/>
        <w:jc w:val="both"/>
        <w:rPr>
          <w:rFonts w:ascii="Times New Roman" w:hAnsi="Times New Roman" w:cs="Times New Roman"/>
          <w:sz w:val="24"/>
          <w:szCs w:val="24"/>
        </w:rPr>
      </w:pPr>
    </w:p>
    <w:p w:rsidR="00B963E0" w:rsidRDefault="00B963E0" w:rsidP="00B963E0">
      <w:pPr>
        <w:tabs>
          <w:tab w:val="left" w:pos="6780"/>
        </w:tabs>
        <w:spacing w:after="0"/>
        <w:jc w:val="both"/>
        <w:rPr>
          <w:rFonts w:ascii="Times New Roman" w:hAnsi="Times New Roman" w:cs="Times New Roman"/>
          <w:sz w:val="24"/>
          <w:szCs w:val="24"/>
        </w:rPr>
      </w:pPr>
      <w:r>
        <w:rPr>
          <w:rFonts w:ascii="Times New Roman" w:hAnsi="Times New Roman" w:cs="Times New Roman"/>
          <w:b/>
          <w:i/>
          <w:sz w:val="24"/>
          <w:szCs w:val="24"/>
        </w:rPr>
        <w:t>Real Gross Domestic Product</w:t>
      </w:r>
    </w:p>
    <w:p w:rsidR="005C4FD7" w:rsidRPr="005C4FD7" w:rsidRDefault="005C4FD7" w:rsidP="005C4FD7">
      <w:pPr>
        <w:spacing w:after="0"/>
        <w:jc w:val="both"/>
        <w:rPr>
          <w:rFonts w:ascii="Times New Roman" w:hAnsi="Times New Roman" w:cs="Times New Roman"/>
          <w:sz w:val="24"/>
          <w:szCs w:val="24"/>
        </w:rPr>
      </w:pPr>
      <w:r w:rsidRPr="005C4FD7">
        <w:rPr>
          <w:rFonts w:ascii="Times New Roman" w:hAnsi="Times New Roman" w:cs="Times New Roman"/>
          <w:sz w:val="24"/>
          <w:szCs w:val="24"/>
        </w:rPr>
        <w:t xml:space="preserve">The positive impact of the initiatives under the NFPAP 2012/2015 is now being </w:t>
      </w:r>
      <w:proofErr w:type="spellStart"/>
      <w:r w:rsidRPr="005C4FD7">
        <w:rPr>
          <w:rFonts w:ascii="Times New Roman" w:hAnsi="Times New Roman" w:cs="Times New Roman"/>
          <w:sz w:val="24"/>
          <w:szCs w:val="24"/>
        </w:rPr>
        <w:t>realised</w:t>
      </w:r>
      <w:proofErr w:type="spellEnd"/>
      <w:r w:rsidRPr="005C4FD7">
        <w:rPr>
          <w:rFonts w:ascii="Times New Roman" w:hAnsi="Times New Roman" w:cs="Times New Roman"/>
          <w:sz w:val="24"/>
          <w:szCs w:val="24"/>
        </w:rPr>
        <w:t xml:space="preserve">. Provisional data obtained from the Central Bank of Trinidad and Tobago on the quarterly gross domestic product showed that the Agricultural Sector experienced growth from the first quarter 2012 to first quarter 2013. The year on year percentage change in Gross Domestic Product </w:t>
      </w:r>
      <w:r w:rsidRPr="005C4FD7">
        <w:rPr>
          <w:rFonts w:ascii="Times New Roman" w:hAnsi="Times New Roman" w:cs="Times New Roman"/>
          <w:sz w:val="24"/>
          <w:szCs w:val="24"/>
        </w:rPr>
        <w:lastRenderedPageBreak/>
        <w:t>moved from -8.6% in first quarter of 2012 to 5.1% in the first quarter of 2013. Details are shown in Table 1 below.</w:t>
      </w:r>
    </w:p>
    <w:tbl>
      <w:tblPr>
        <w:tblW w:w="0" w:type="auto"/>
        <w:tblInd w:w="1242" w:type="dxa"/>
        <w:tblLook w:val="04A0" w:firstRow="1" w:lastRow="0" w:firstColumn="1" w:lastColumn="0" w:noHBand="0" w:noVBand="1"/>
      </w:tblPr>
      <w:tblGrid>
        <w:gridCol w:w="4503"/>
        <w:gridCol w:w="2880"/>
        <w:gridCol w:w="252"/>
        <w:gridCol w:w="125"/>
        <w:gridCol w:w="111"/>
      </w:tblGrid>
      <w:tr w:rsidR="005C4FD7" w:rsidRPr="005C4FD7" w:rsidTr="00611FD9">
        <w:trPr>
          <w:gridAfter w:val="1"/>
          <w:trHeight w:val="540"/>
        </w:trPr>
        <w:tc>
          <w:tcPr>
            <w:tcW w:w="0" w:type="auto"/>
            <w:gridSpan w:val="4"/>
            <w:tcBorders>
              <w:top w:val="nil"/>
              <w:left w:val="nil"/>
              <w:bottom w:val="nil"/>
              <w:right w:val="nil"/>
            </w:tcBorders>
            <w:shd w:val="clear" w:color="auto" w:fill="auto"/>
            <w:noWrap/>
            <w:vAlign w:val="bottom"/>
            <w:hideMark/>
          </w:tcPr>
          <w:p w:rsidR="005C4FD7" w:rsidRPr="005C4FD7" w:rsidRDefault="005C4FD7" w:rsidP="00611FD9">
            <w:pPr>
              <w:spacing w:after="0" w:line="240" w:lineRule="auto"/>
              <w:ind w:firstLine="34"/>
              <w:rPr>
                <w:rFonts w:ascii="Times New Roman" w:eastAsia="Times New Roman" w:hAnsi="Times New Roman" w:cs="Times New Roman"/>
                <w:b/>
                <w:bCs/>
                <w:color w:val="000000" w:themeColor="text1"/>
                <w:sz w:val="24"/>
                <w:szCs w:val="24"/>
              </w:rPr>
            </w:pPr>
            <w:r w:rsidRPr="005C4FD7">
              <w:rPr>
                <w:rFonts w:ascii="Times New Roman" w:eastAsia="Times New Roman" w:hAnsi="Times New Roman" w:cs="Times New Roman"/>
                <w:b/>
                <w:bCs/>
                <w:color w:val="000000" w:themeColor="text1"/>
                <w:sz w:val="24"/>
                <w:szCs w:val="24"/>
              </w:rPr>
              <w:t>Table 1 - Quarterly Gross Domestic Product Q1 2012 – Q1 2013</w:t>
            </w:r>
          </w:p>
        </w:tc>
      </w:tr>
      <w:tr w:rsidR="005C4FD7" w:rsidRPr="005C4FD7" w:rsidTr="00611FD9">
        <w:trPr>
          <w:trHeight w:val="585"/>
        </w:trPr>
        <w:tc>
          <w:tcPr>
            <w:tcW w:w="0" w:type="auto"/>
            <w:tcBorders>
              <w:top w:val="single" w:sz="4" w:space="0" w:color="auto"/>
              <w:left w:val="single" w:sz="4" w:space="0" w:color="auto"/>
              <w:bottom w:val="single" w:sz="4" w:space="0" w:color="auto"/>
              <w:right w:val="nil"/>
            </w:tcBorders>
            <w:shd w:val="clear" w:color="auto" w:fill="auto"/>
            <w:noWrap/>
            <w:vAlign w:val="bottom"/>
            <w:hideMark/>
          </w:tcPr>
          <w:p w:rsidR="005C4FD7" w:rsidRPr="00611FD9" w:rsidRDefault="005C4FD7" w:rsidP="0050138B">
            <w:pPr>
              <w:spacing w:after="0" w:line="240" w:lineRule="auto"/>
              <w:rPr>
                <w:rFonts w:ascii="Times New Roman" w:eastAsia="Times New Roman" w:hAnsi="Times New Roman" w:cs="Times New Roman"/>
                <w:b/>
                <w:bCs/>
                <w:color w:val="000000" w:themeColor="text1"/>
                <w:szCs w:val="24"/>
              </w:rPr>
            </w:pPr>
            <w:r w:rsidRPr="00611FD9">
              <w:rPr>
                <w:rFonts w:ascii="Times New Roman" w:eastAsia="Times New Roman" w:hAnsi="Times New Roman" w:cs="Times New Roman"/>
                <w:b/>
                <w:bCs/>
                <w:color w:val="000000" w:themeColor="text1"/>
                <w:szCs w:val="24"/>
              </w:rPr>
              <w:t xml:space="preserve">Period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4FD7" w:rsidRPr="00611FD9" w:rsidRDefault="005C4FD7" w:rsidP="0050138B">
            <w:pPr>
              <w:spacing w:after="0" w:line="240" w:lineRule="auto"/>
              <w:jc w:val="center"/>
              <w:rPr>
                <w:rFonts w:ascii="Times New Roman" w:eastAsia="Times New Roman" w:hAnsi="Times New Roman" w:cs="Times New Roman"/>
                <w:b/>
                <w:bCs/>
                <w:color w:val="000000" w:themeColor="text1"/>
                <w:szCs w:val="24"/>
              </w:rPr>
            </w:pPr>
            <w:r w:rsidRPr="00611FD9">
              <w:rPr>
                <w:rFonts w:ascii="Times New Roman" w:eastAsia="Times New Roman" w:hAnsi="Times New Roman" w:cs="Times New Roman"/>
                <w:b/>
                <w:bCs/>
                <w:color w:val="000000" w:themeColor="text1"/>
                <w:szCs w:val="24"/>
              </w:rPr>
              <w:t>Year on Year % Change</w:t>
            </w:r>
          </w:p>
        </w:tc>
        <w:tc>
          <w:tcPr>
            <w:tcW w:w="0" w:type="auto"/>
            <w:tcBorders>
              <w:top w:val="nil"/>
              <w:left w:val="nil"/>
              <w:bottom w:val="nil"/>
              <w:right w:val="nil"/>
            </w:tcBorders>
            <w:shd w:val="clear" w:color="auto" w:fill="auto"/>
            <w:noWrap/>
            <w:vAlign w:val="bottom"/>
            <w:hideMark/>
          </w:tcPr>
          <w:p w:rsidR="005C4FD7" w:rsidRPr="005C4FD7" w:rsidRDefault="005C4FD7" w:rsidP="0050138B">
            <w:pPr>
              <w:spacing w:after="0" w:line="240" w:lineRule="auto"/>
              <w:rPr>
                <w:rFonts w:ascii="Times New Roman" w:eastAsia="Times New Roman" w:hAnsi="Times New Roman" w:cs="Times New Roman"/>
                <w:color w:val="000000" w:themeColor="text1"/>
                <w:sz w:val="24"/>
                <w:szCs w:val="24"/>
              </w:rPr>
            </w:pPr>
          </w:p>
        </w:tc>
        <w:tc>
          <w:tcPr>
            <w:tcW w:w="0" w:type="auto"/>
            <w:gridSpan w:val="2"/>
            <w:tcBorders>
              <w:top w:val="nil"/>
              <w:left w:val="nil"/>
              <w:bottom w:val="nil"/>
              <w:right w:val="nil"/>
            </w:tcBorders>
            <w:shd w:val="clear" w:color="auto" w:fill="auto"/>
            <w:noWrap/>
            <w:vAlign w:val="bottom"/>
            <w:hideMark/>
          </w:tcPr>
          <w:p w:rsidR="005C4FD7" w:rsidRPr="005C4FD7" w:rsidRDefault="005C4FD7" w:rsidP="0050138B">
            <w:pPr>
              <w:spacing w:after="0" w:line="240" w:lineRule="auto"/>
              <w:rPr>
                <w:rFonts w:ascii="Times New Roman" w:eastAsia="Times New Roman" w:hAnsi="Times New Roman" w:cs="Times New Roman"/>
                <w:color w:val="000000" w:themeColor="text1"/>
                <w:sz w:val="24"/>
                <w:szCs w:val="24"/>
              </w:rPr>
            </w:pPr>
          </w:p>
        </w:tc>
      </w:tr>
      <w:tr w:rsidR="005C4FD7" w:rsidRPr="005C4FD7" w:rsidTr="00611FD9">
        <w:trPr>
          <w:trHeight w:val="300"/>
        </w:trPr>
        <w:tc>
          <w:tcPr>
            <w:tcW w:w="0" w:type="auto"/>
            <w:tcBorders>
              <w:top w:val="nil"/>
              <w:left w:val="single" w:sz="4" w:space="0" w:color="auto"/>
              <w:bottom w:val="nil"/>
              <w:right w:val="nil"/>
            </w:tcBorders>
            <w:shd w:val="clear" w:color="auto" w:fill="auto"/>
            <w:noWrap/>
            <w:vAlign w:val="bottom"/>
          </w:tcPr>
          <w:p w:rsidR="005C4FD7" w:rsidRPr="00611FD9" w:rsidRDefault="005C4FD7" w:rsidP="0050138B">
            <w:pPr>
              <w:spacing w:after="0" w:line="240" w:lineRule="auto"/>
              <w:rPr>
                <w:rFonts w:ascii="Times New Roman" w:eastAsia="Times New Roman" w:hAnsi="Times New Roman" w:cs="Times New Roman"/>
                <w:color w:val="000000" w:themeColor="text1"/>
                <w:szCs w:val="24"/>
              </w:rPr>
            </w:pPr>
            <w:r w:rsidRPr="00611FD9">
              <w:rPr>
                <w:rFonts w:ascii="Times New Roman" w:eastAsia="Times New Roman" w:hAnsi="Times New Roman" w:cs="Times New Roman"/>
                <w:color w:val="000000" w:themeColor="text1"/>
                <w:szCs w:val="24"/>
              </w:rPr>
              <w:t>2012 Q1(January 2012 to March 2012)</w:t>
            </w:r>
          </w:p>
        </w:tc>
        <w:tc>
          <w:tcPr>
            <w:tcW w:w="0" w:type="auto"/>
            <w:tcBorders>
              <w:top w:val="nil"/>
              <w:left w:val="single" w:sz="4" w:space="0" w:color="auto"/>
              <w:bottom w:val="nil"/>
              <w:right w:val="single" w:sz="4" w:space="0" w:color="auto"/>
            </w:tcBorders>
            <w:shd w:val="clear" w:color="auto" w:fill="auto"/>
            <w:noWrap/>
            <w:vAlign w:val="bottom"/>
          </w:tcPr>
          <w:p w:rsidR="005C4FD7" w:rsidRPr="00611FD9" w:rsidRDefault="005C4FD7" w:rsidP="0050138B">
            <w:pPr>
              <w:spacing w:after="0" w:line="240" w:lineRule="auto"/>
              <w:jc w:val="center"/>
              <w:rPr>
                <w:rFonts w:ascii="Times New Roman" w:eastAsia="Times New Roman" w:hAnsi="Times New Roman" w:cs="Times New Roman"/>
                <w:color w:val="000000" w:themeColor="text1"/>
                <w:szCs w:val="24"/>
              </w:rPr>
            </w:pPr>
            <w:r w:rsidRPr="00611FD9">
              <w:rPr>
                <w:rFonts w:ascii="Times New Roman" w:eastAsia="Times New Roman" w:hAnsi="Times New Roman" w:cs="Times New Roman"/>
                <w:color w:val="000000" w:themeColor="text1"/>
                <w:szCs w:val="24"/>
              </w:rPr>
              <w:t>-8.6%</w:t>
            </w:r>
          </w:p>
        </w:tc>
        <w:tc>
          <w:tcPr>
            <w:tcW w:w="0" w:type="auto"/>
            <w:tcBorders>
              <w:top w:val="nil"/>
              <w:left w:val="nil"/>
              <w:bottom w:val="nil"/>
              <w:right w:val="nil"/>
            </w:tcBorders>
            <w:shd w:val="clear" w:color="auto" w:fill="auto"/>
            <w:noWrap/>
            <w:vAlign w:val="bottom"/>
          </w:tcPr>
          <w:p w:rsidR="005C4FD7" w:rsidRPr="005C4FD7" w:rsidRDefault="005C4FD7" w:rsidP="0050138B">
            <w:pPr>
              <w:spacing w:after="0" w:line="240" w:lineRule="auto"/>
              <w:rPr>
                <w:rFonts w:ascii="Times New Roman" w:eastAsia="Times New Roman" w:hAnsi="Times New Roman" w:cs="Times New Roman"/>
                <w:color w:val="000000" w:themeColor="text1"/>
                <w:sz w:val="24"/>
                <w:szCs w:val="24"/>
              </w:rPr>
            </w:pPr>
          </w:p>
        </w:tc>
        <w:tc>
          <w:tcPr>
            <w:tcW w:w="0" w:type="auto"/>
            <w:gridSpan w:val="2"/>
            <w:tcBorders>
              <w:top w:val="nil"/>
              <w:left w:val="nil"/>
              <w:bottom w:val="nil"/>
              <w:right w:val="nil"/>
            </w:tcBorders>
            <w:shd w:val="clear" w:color="auto" w:fill="auto"/>
            <w:noWrap/>
            <w:vAlign w:val="bottom"/>
          </w:tcPr>
          <w:p w:rsidR="005C4FD7" w:rsidRPr="005C4FD7" w:rsidRDefault="005C4FD7" w:rsidP="0050138B">
            <w:pPr>
              <w:spacing w:after="0" w:line="240" w:lineRule="auto"/>
              <w:rPr>
                <w:rFonts w:ascii="Times New Roman" w:eastAsia="Times New Roman" w:hAnsi="Times New Roman" w:cs="Times New Roman"/>
                <w:color w:val="000000" w:themeColor="text1"/>
                <w:sz w:val="24"/>
                <w:szCs w:val="24"/>
              </w:rPr>
            </w:pPr>
          </w:p>
        </w:tc>
      </w:tr>
      <w:tr w:rsidR="005C4FD7" w:rsidRPr="005C4FD7" w:rsidTr="00611FD9">
        <w:trPr>
          <w:trHeight w:val="300"/>
        </w:trPr>
        <w:tc>
          <w:tcPr>
            <w:tcW w:w="0" w:type="auto"/>
            <w:tcBorders>
              <w:top w:val="nil"/>
              <w:left w:val="single" w:sz="4" w:space="0" w:color="auto"/>
              <w:bottom w:val="nil"/>
              <w:right w:val="nil"/>
            </w:tcBorders>
            <w:shd w:val="clear" w:color="auto" w:fill="auto"/>
            <w:noWrap/>
            <w:vAlign w:val="bottom"/>
            <w:hideMark/>
          </w:tcPr>
          <w:p w:rsidR="005C4FD7" w:rsidRPr="00611FD9" w:rsidRDefault="005C4FD7" w:rsidP="0050138B">
            <w:pPr>
              <w:spacing w:after="0" w:line="240" w:lineRule="auto"/>
              <w:rPr>
                <w:rFonts w:ascii="Times New Roman" w:eastAsia="Times New Roman" w:hAnsi="Times New Roman" w:cs="Times New Roman"/>
                <w:color w:val="000000" w:themeColor="text1"/>
                <w:szCs w:val="24"/>
              </w:rPr>
            </w:pPr>
          </w:p>
          <w:p w:rsidR="005C4FD7" w:rsidRPr="00611FD9" w:rsidRDefault="005C4FD7" w:rsidP="0050138B">
            <w:pPr>
              <w:spacing w:after="0" w:line="240" w:lineRule="auto"/>
              <w:rPr>
                <w:rFonts w:ascii="Times New Roman" w:eastAsia="Times New Roman" w:hAnsi="Times New Roman" w:cs="Times New Roman"/>
                <w:color w:val="000000" w:themeColor="text1"/>
                <w:szCs w:val="24"/>
              </w:rPr>
            </w:pPr>
            <w:r w:rsidRPr="00611FD9">
              <w:rPr>
                <w:rFonts w:ascii="Times New Roman" w:eastAsia="Times New Roman" w:hAnsi="Times New Roman" w:cs="Times New Roman"/>
                <w:color w:val="000000" w:themeColor="text1"/>
                <w:szCs w:val="24"/>
              </w:rPr>
              <w:t>2012 Q2 (April 2012- June 2012)</w:t>
            </w:r>
          </w:p>
        </w:tc>
        <w:tc>
          <w:tcPr>
            <w:tcW w:w="0" w:type="auto"/>
            <w:tcBorders>
              <w:top w:val="nil"/>
              <w:left w:val="single" w:sz="4" w:space="0" w:color="auto"/>
              <w:bottom w:val="nil"/>
              <w:right w:val="single" w:sz="4" w:space="0" w:color="auto"/>
            </w:tcBorders>
            <w:shd w:val="clear" w:color="auto" w:fill="auto"/>
            <w:noWrap/>
            <w:vAlign w:val="bottom"/>
            <w:hideMark/>
          </w:tcPr>
          <w:p w:rsidR="005C4FD7" w:rsidRPr="00611FD9" w:rsidRDefault="005C4FD7" w:rsidP="0050138B">
            <w:pPr>
              <w:spacing w:after="0" w:line="240" w:lineRule="auto"/>
              <w:jc w:val="center"/>
              <w:rPr>
                <w:rFonts w:ascii="Times New Roman" w:eastAsia="Times New Roman" w:hAnsi="Times New Roman" w:cs="Times New Roman"/>
                <w:color w:val="000000" w:themeColor="text1"/>
                <w:szCs w:val="24"/>
              </w:rPr>
            </w:pPr>
            <w:r w:rsidRPr="00611FD9">
              <w:rPr>
                <w:rFonts w:ascii="Times New Roman" w:eastAsia="Times New Roman" w:hAnsi="Times New Roman" w:cs="Times New Roman"/>
                <w:color w:val="000000" w:themeColor="text1"/>
                <w:szCs w:val="24"/>
              </w:rPr>
              <w:t>-5.1</w:t>
            </w:r>
          </w:p>
        </w:tc>
        <w:tc>
          <w:tcPr>
            <w:tcW w:w="0" w:type="auto"/>
            <w:tcBorders>
              <w:top w:val="nil"/>
              <w:left w:val="nil"/>
              <w:bottom w:val="nil"/>
              <w:right w:val="nil"/>
            </w:tcBorders>
            <w:shd w:val="clear" w:color="auto" w:fill="auto"/>
            <w:noWrap/>
            <w:vAlign w:val="bottom"/>
            <w:hideMark/>
          </w:tcPr>
          <w:p w:rsidR="005C4FD7" w:rsidRPr="005C4FD7" w:rsidRDefault="005C4FD7" w:rsidP="0050138B">
            <w:pPr>
              <w:spacing w:after="0" w:line="240" w:lineRule="auto"/>
              <w:rPr>
                <w:rFonts w:ascii="Times New Roman" w:eastAsia="Times New Roman" w:hAnsi="Times New Roman" w:cs="Times New Roman"/>
                <w:color w:val="000000" w:themeColor="text1"/>
                <w:sz w:val="24"/>
                <w:szCs w:val="24"/>
              </w:rPr>
            </w:pPr>
          </w:p>
        </w:tc>
        <w:tc>
          <w:tcPr>
            <w:tcW w:w="0" w:type="auto"/>
            <w:gridSpan w:val="2"/>
            <w:tcBorders>
              <w:top w:val="nil"/>
              <w:left w:val="nil"/>
              <w:bottom w:val="nil"/>
              <w:right w:val="nil"/>
            </w:tcBorders>
            <w:shd w:val="clear" w:color="auto" w:fill="auto"/>
            <w:noWrap/>
            <w:vAlign w:val="bottom"/>
            <w:hideMark/>
          </w:tcPr>
          <w:p w:rsidR="005C4FD7" w:rsidRPr="005C4FD7" w:rsidRDefault="005C4FD7" w:rsidP="0050138B">
            <w:pPr>
              <w:spacing w:after="0" w:line="240" w:lineRule="auto"/>
              <w:rPr>
                <w:rFonts w:ascii="Times New Roman" w:eastAsia="Times New Roman" w:hAnsi="Times New Roman" w:cs="Times New Roman"/>
                <w:color w:val="000000" w:themeColor="text1"/>
                <w:sz w:val="24"/>
                <w:szCs w:val="24"/>
              </w:rPr>
            </w:pPr>
          </w:p>
        </w:tc>
      </w:tr>
      <w:tr w:rsidR="005C4FD7" w:rsidRPr="005C4FD7" w:rsidTr="00611FD9">
        <w:trPr>
          <w:trHeight w:val="300"/>
        </w:trPr>
        <w:tc>
          <w:tcPr>
            <w:tcW w:w="0" w:type="auto"/>
            <w:tcBorders>
              <w:top w:val="nil"/>
              <w:left w:val="single" w:sz="4" w:space="0" w:color="auto"/>
              <w:bottom w:val="nil"/>
              <w:right w:val="nil"/>
            </w:tcBorders>
            <w:shd w:val="clear" w:color="auto" w:fill="auto"/>
            <w:noWrap/>
            <w:vAlign w:val="bottom"/>
            <w:hideMark/>
          </w:tcPr>
          <w:p w:rsidR="005C4FD7" w:rsidRPr="00611FD9" w:rsidRDefault="005C4FD7" w:rsidP="0050138B">
            <w:pPr>
              <w:spacing w:after="0" w:line="240" w:lineRule="auto"/>
              <w:rPr>
                <w:rFonts w:ascii="Times New Roman" w:eastAsia="Times New Roman" w:hAnsi="Times New Roman" w:cs="Times New Roman"/>
                <w:color w:val="000000" w:themeColor="text1"/>
                <w:szCs w:val="24"/>
              </w:rPr>
            </w:pPr>
          </w:p>
          <w:p w:rsidR="005C4FD7" w:rsidRPr="00611FD9" w:rsidRDefault="005C4FD7" w:rsidP="0050138B">
            <w:pPr>
              <w:spacing w:after="0" w:line="240" w:lineRule="auto"/>
              <w:rPr>
                <w:rFonts w:ascii="Times New Roman" w:eastAsia="Times New Roman" w:hAnsi="Times New Roman" w:cs="Times New Roman"/>
                <w:color w:val="000000" w:themeColor="text1"/>
                <w:szCs w:val="24"/>
              </w:rPr>
            </w:pPr>
            <w:r w:rsidRPr="00611FD9">
              <w:rPr>
                <w:rFonts w:ascii="Times New Roman" w:eastAsia="Times New Roman" w:hAnsi="Times New Roman" w:cs="Times New Roman"/>
                <w:color w:val="000000" w:themeColor="text1"/>
                <w:szCs w:val="24"/>
              </w:rPr>
              <w:t>2012 Q3 (July 2012 - September 2012)</w:t>
            </w:r>
          </w:p>
        </w:tc>
        <w:tc>
          <w:tcPr>
            <w:tcW w:w="0" w:type="auto"/>
            <w:tcBorders>
              <w:top w:val="nil"/>
              <w:left w:val="single" w:sz="4" w:space="0" w:color="auto"/>
              <w:bottom w:val="nil"/>
              <w:right w:val="single" w:sz="4" w:space="0" w:color="auto"/>
            </w:tcBorders>
            <w:shd w:val="clear" w:color="auto" w:fill="auto"/>
            <w:noWrap/>
            <w:vAlign w:val="bottom"/>
            <w:hideMark/>
          </w:tcPr>
          <w:p w:rsidR="005C4FD7" w:rsidRPr="00611FD9" w:rsidRDefault="005C4FD7" w:rsidP="0050138B">
            <w:pPr>
              <w:spacing w:after="0" w:line="240" w:lineRule="auto"/>
              <w:jc w:val="center"/>
              <w:rPr>
                <w:rFonts w:ascii="Times New Roman" w:eastAsia="Times New Roman" w:hAnsi="Times New Roman" w:cs="Times New Roman"/>
                <w:color w:val="000000" w:themeColor="text1"/>
                <w:szCs w:val="24"/>
              </w:rPr>
            </w:pPr>
            <w:r w:rsidRPr="00611FD9">
              <w:rPr>
                <w:rFonts w:ascii="Times New Roman" w:eastAsia="Times New Roman" w:hAnsi="Times New Roman" w:cs="Times New Roman"/>
                <w:color w:val="000000" w:themeColor="text1"/>
                <w:szCs w:val="24"/>
              </w:rPr>
              <w:t>-4.3</w:t>
            </w:r>
          </w:p>
        </w:tc>
        <w:tc>
          <w:tcPr>
            <w:tcW w:w="0" w:type="auto"/>
            <w:tcBorders>
              <w:top w:val="nil"/>
              <w:left w:val="nil"/>
              <w:bottom w:val="nil"/>
              <w:right w:val="nil"/>
            </w:tcBorders>
            <w:shd w:val="clear" w:color="auto" w:fill="auto"/>
            <w:noWrap/>
            <w:vAlign w:val="bottom"/>
            <w:hideMark/>
          </w:tcPr>
          <w:p w:rsidR="005C4FD7" w:rsidRPr="005C4FD7" w:rsidRDefault="005C4FD7" w:rsidP="0050138B">
            <w:pPr>
              <w:spacing w:after="0" w:line="240" w:lineRule="auto"/>
              <w:rPr>
                <w:rFonts w:ascii="Times New Roman" w:eastAsia="Times New Roman" w:hAnsi="Times New Roman" w:cs="Times New Roman"/>
                <w:color w:val="000000" w:themeColor="text1"/>
                <w:sz w:val="24"/>
                <w:szCs w:val="24"/>
              </w:rPr>
            </w:pPr>
          </w:p>
        </w:tc>
        <w:tc>
          <w:tcPr>
            <w:tcW w:w="0" w:type="auto"/>
            <w:gridSpan w:val="2"/>
            <w:tcBorders>
              <w:top w:val="nil"/>
              <w:left w:val="nil"/>
              <w:bottom w:val="nil"/>
              <w:right w:val="nil"/>
            </w:tcBorders>
            <w:shd w:val="clear" w:color="auto" w:fill="auto"/>
            <w:noWrap/>
            <w:vAlign w:val="bottom"/>
            <w:hideMark/>
          </w:tcPr>
          <w:p w:rsidR="005C4FD7" w:rsidRPr="005C4FD7" w:rsidRDefault="005C4FD7" w:rsidP="0050138B">
            <w:pPr>
              <w:spacing w:after="0" w:line="240" w:lineRule="auto"/>
              <w:rPr>
                <w:rFonts w:ascii="Times New Roman" w:eastAsia="Times New Roman" w:hAnsi="Times New Roman" w:cs="Times New Roman"/>
                <w:color w:val="000000" w:themeColor="text1"/>
                <w:sz w:val="24"/>
                <w:szCs w:val="24"/>
              </w:rPr>
            </w:pPr>
          </w:p>
        </w:tc>
      </w:tr>
      <w:tr w:rsidR="005C4FD7" w:rsidRPr="005C4FD7" w:rsidTr="00611FD9">
        <w:trPr>
          <w:trHeight w:val="300"/>
        </w:trPr>
        <w:tc>
          <w:tcPr>
            <w:tcW w:w="0" w:type="auto"/>
            <w:tcBorders>
              <w:top w:val="nil"/>
              <w:left w:val="single" w:sz="4" w:space="0" w:color="auto"/>
              <w:right w:val="nil"/>
            </w:tcBorders>
            <w:shd w:val="clear" w:color="auto" w:fill="auto"/>
            <w:noWrap/>
            <w:vAlign w:val="bottom"/>
            <w:hideMark/>
          </w:tcPr>
          <w:p w:rsidR="005C4FD7" w:rsidRPr="00611FD9" w:rsidRDefault="005C4FD7" w:rsidP="0050138B">
            <w:pPr>
              <w:spacing w:after="0" w:line="240" w:lineRule="auto"/>
              <w:rPr>
                <w:rFonts w:ascii="Times New Roman" w:eastAsia="Times New Roman" w:hAnsi="Times New Roman" w:cs="Times New Roman"/>
                <w:color w:val="000000" w:themeColor="text1"/>
                <w:szCs w:val="24"/>
              </w:rPr>
            </w:pPr>
          </w:p>
          <w:p w:rsidR="005C4FD7" w:rsidRPr="00611FD9" w:rsidRDefault="005C4FD7" w:rsidP="0050138B">
            <w:pPr>
              <w:spacing w:after="0" w:line="240" w:lineRule="auto"/>
              <w:rPr>
                <w:rFonts w:ascii="Times New Roman" w:eastAsia="Times New Roman" w:hAnsi="Times New Roman" w:cs="Times New Roman"/>
                <w:color w:val="000000" w:themeColor="text1"/>
                <w:szCs w:val="24"/>
              </w:rPr>
            </w:pPr>
            <w:r w:rsidRPr="00611FD9">
              <w:rPr>
                <w:rFonts w:ascii="Times New Roman" w:eastAsia="Times New Roman" w:hAnsi="Times New Roman" w:cs="Times New Roman"/>
                <w:color w:val="000000" w:themeColor="text1"/>
                <w:szCs w:val="24"/>
              </w:rPr>
              <w:t>2012 Q4 (October 2012 - December 2012)</w:t>
            </w:r>
          </w:p>
        </w:tc>
        <w:tc>
          <w:tcPr>
            <w:tcW w:w="0" w:type="auto"/>
            <w:tcBorders>
              <w:top w:val="nil"/>
              <w:left w:val="single" w:sz="4" w:space="0" w:color="auto"/>
              <w:right w:val="single" w:sz="4" w:space="0" w:color="auto"/>
            </w:tcBorders>
            <w:shd w:val="clear" w:color="auto" w:fill="auto"/>
            <w:noWrap/>
            <w:vAlign w:val="bottom"/>
            <w:hideMark/>
          </w:tcPr>
          <w:p w:rsidR="005C4FD7" w:rsidRPr="00611FD9" w:rsidRDefault="005C4FD7" w:rsidP="0050138B">
            <w:pPr>
              <w:spacing w:after="0" w:line="240" w:lineRule="auto"/>
              <w:jc w:val="center"/>
              <w:rPr>
                <w:rFonts w:ascii="Times New Roman" w:eastAsia="Times New Roman" w:hAnsi="Times New Roman" w:cs="Times New Roman"/>
                <w:color w:val="000000" w:themeColor="text1"/>
                <w:szCs w:val="24"/>
              </w:rPr>
            </w:pPr>
          </w:p>
          <w:p w:rsidR="005C4FD7" w:rsidRPr="00611FD9" w:rsidRDefault="005C4FD7" w:rsidP="0050138B">
            <w:pPr>
              <w:spacing w:after="0" w:line="240" w:lineRule="auto"/>
              <w:jc w:val="center"/>
              <w:rPr>
                <w:rFonts w:ascii="Times New Roman" w:eastAsia="Times New Roman" w:hAnsi="Times New Roman" w:cs="Times New Roman"/>
                <w:color w:val="000000" w:themeColor="text1"/>
                <w:szCs w:val="24"/>
              </w:rPr>
            </w:pPr>
            <w:r w:rsidRPr="00611FD9">
              <w:rPr>
                <w:rFonts w:ascii="Times New Roman" w:eastAsia="Times New Roman" w:hAnsi="Times New Roman" w:cs="Times New Roman"/>
                <w:color w:val="000000" w:themeColor="text1"/>
                <w:szCs w:val="24"/>
              </w:rPr>
              <w:t>1.5</w:t>
            </w:r>
          </w:p>
        </w:tc>
        <w:tc>
          <w:tcPr>
            <w:tcW w:w="0" w:type="auto"/>
            <w:tcBorders>
              <w:top w:val="nil"/>
              <w:left w:val="nil"/>
              <w:bottom w:val="nil"/>
              <w:right w:val="nil"/>
            </w:tcBorders>
            <w:shd w:val="clear" w:color="auto" w:fill="auto"/>
            <w:noWrap/>
            <w:vAlign w:val="bottom"/>
            <w:hideMark/>
          </w:tcPr>
          <w:p w:rsidR="005C4FD7" w:rsidRPr="005C4FD7" w:rsidRDefault="005C4FD7" w:rsidP="0050138B">
            <w:pPr>
              <w:spacing w:after="0" w:line="240" w:lineRule="auto"/>
              <w:rPr>
                <w:rFonts w:ascii="Times New Roman" w:eastAsia="Times New Roman" w:hAnsi="Times New Roman" w:cs="Times New Roman"/>
                <w:color w:val="000000" w:themeColor="text1"/>
                <w:sz w:val="24"/>
                <w:szCs w:val="24"/>
              </w:rPr>
            </w:pPr>
          </w:p>
        </w:tc>
        <w:tc>
          <w:tcPr>
            <w:tcW w:w="0" w:type="auto"/>
            <w:gridSpan w:val="2"/>
            <w:tcBorders>
              <w:top w:val="nil"/>
              <w:left w:val="nil"/>
              <w:bottom w:val="nil"/>
              <w:right w:val="nil"/>
            </w:tcBorders>
            <w:shd w:val="clear" w:color="auto" w:fill="auto"/>
            <w:noWrap/>
            <w:vAlign w:val="bottom"/>
            <w:hideMark/>
          </w:tcPr>
          <w:p w:rsidR="005C4FD7" w:rsidRPr="005C4FD7" w:rsidRDefault="005C4FD7" w:rsidP="0050138B">
            <w:pPr>
              <w:spacing w:after="0" w:line="240" w:lineRule="auto"/>
              <w:rPr>
                <w:rFonts w:ascii="Times New Roman" w:eastAsia="Times New Roman" w:hAnsi="Times New Roman" w:cs="Times New Roman"/>
                <w:color w:val="000000" w:themeColor="text1"/>
                <w:sz w:val="24"/>
                <w:szCs w:val="24"/>
              </w:rPr>
            </w:pPr>
          </w:p>
        </w:tc>
      </w:tr>
      <w:tr w:rsidR="005C4FD7" w:rsidRPr="005C4FD7" w:rsidTr="00611FD9">
        <w:trPr>
          <w:trHeight w:val="315"/>
        </w:trPr>
        <w:tc>
          <w:tcPr>
            <w:tcW w:w="0" w:type="auto"/>
            <w:tcBorders>
              <w:top w:val="nil"/>
              <w:left w:val="single" w:sz="4" w:space="0" w:color="auto"/>
              <w:bottom w:val="single" w:sz="4" w:space="0" w:color="auto"/>
              <w:right w:val="nil"/>
            </w:tcBorders>
            <w:shd w:val="clear" w:color="auto" w:fill="auto"/>
            <w:noWrap/>
            <w:vAlign w:val="bottom"/>
            <w:hideMark/>
          </w:tcPr>
          <w:p w:rsidR="005C4FD7" w:rsidRPr="00611FD9" w:rsidRDefault="005C4FD7" w:rsidP="0050138B">
            <w:pPr>
              <w:spacing w:after="0" w:line="240" w:lineRule="auto"/>
              <w:rPr>
                <w:rFonts w:ascii="Times New Roman" w:eastAsia="Times New Roman" w:hAnsi="Times New Roman" w:cs="Times New Roman"/>
                <w:color w:val="000000" w:themeColor="text1"/>
                <w:szCs w:val="24"/>
              </w:rPr>
            </w:pPr>
          </w:p>
          <w:p w:rsidR="005C4FD7" w:rsidRPr="00611FD9" w:rsidRDefault="005C4FD7" w:rsidP="0050138B">
            <w:pPr>
              <w:spacing w:after="0" w:line="240" w:lineRule="auto"/>
              <w:rPr>
                <w:rFonts w:ascii="Times New Roman" w:eastAsia="Times New Roman" w:hAnsi="Times New Roman" w:cs="Times New Roman"/>
                <w:color w:val="000000" w:themeColor="text1"/>
                <w:szCs w:val="24"/>
              </w:rPr>
            </w:pPr>
            <w:r w:rsidRPr="00611FD9">
              <w:rPr>
                <w:rFonts w:ascii="Times New Roman" w:eastAsia="Times New Roman" w:hAnsi="Times New Roman" w:cs="Times New Roman"/>
                <w:color w:val="000000" w:themeColor="text1"/>
                <w:szCs w:val="24"/>
              </w:rPr>
              <w:t>2013 Q1 (January 2012 - March 2013)</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C4FD7" w:rsidRPr="00611FD9" w:rsidRDefault="005C4FD7" w:rsidP="0050138B">
            <w:pPr>
              <w:spacing w:after="0" w:line="240" w:lineRule="auto"/>
              <w:jc w:val="center"/>
              <w:rPr>
                <w:rFonts w:ascii="Times New Roman" w:eastAsia="Times New Roman" w:hAnsi="Times New Roman" w:cs="Times New Roman"/>
                <w:color w:val="000000" w:themeColor="text1"/>
                <w:szCs w:val="24"/>
              </w:rPr>
            </w:pPr>
            <w:r w:rsidRPr="00611FD9">
              <w:rPr>
                <w:rFonts w:ascii="Times New Roman" w:eastAsia="Times New Roman" w:hAnsi="Times New Roman" w:cs="Times New Roman"/>
                <w:color w:val="000000" w:themeColor="text1"/>
                <w:szCs w:val="24"/>
              </w:rPr>
              <w:t>5.1</w:t>
            </w:r>
          </w:p>
        </w:tc>
        <w:tc>
          <w:tcPr>
            <w:tcW w:w="0" w:type="auto"/>
            <w:tcBorders>
              <w:top w:val="nil"/>
              <w:left w:val="nil"/>
              <w:bottom w:val="nil"/>
              <w:right w:val="nil"/>
            </w:tcBorders>
            <w:shd w:val="clear" w:color="auto" w:fill="auto"/>
            <w:noWrap/>
            <w:vAlign w:val="bottom"/>
            <w:hideMark/>
          </w:tcPr>
          <w:p w:rsidR="005C4FD7" w:rsidRPr="005C4FD7" w:rsidRDefault="005C4FD7" w:rsidP="0050138B">
            <w:pPr>
              <w:spacing w:after="0" w:line="240" w:lineRule="auto"/>
              <w:rPr>
                <w:rFonts w:ascii="Times New Roman" w:eastAsia="Times New Roman" w:hAnsi="Times New Roman" w:cs="Times New Roman"/>
                <w:color w:val="000000" w:themeColor="text1"/>
                <w:sz w:val="24"/>
                <w:szCs w:val="24"/>
              </w:rPr>
            </w:pPr>
          </w:p>
        </w:tc>
        <w:tc>
          <w:tcPr>
            <w:tcW w:w="0" w:type="auto"/>
            <w:gridSpan w:val="2"/>
            <w:tcBorders>
              <w:top w:val="nil"/>
              <w:left w:val="nil"/>
              <w:bottom w:val="nil"/>
              <w:right w:val="nil"/>
            </w:tcBorders>
            <w:shd w:val="clear" w:color="auto" w:fill="auto"/>
            <w:noWrap/>
            <w:vAlign w:val="bottom"/>
            <w:hideMark/>
          </w:tcPr>
          <w:p w:rsidR="005C4FD7" w:rsidRPr="005C4FD7" w:rsidRDefault="005C4FD7" w:rsidP="0050138B">
            <w:pPr>
              <w:spacing w:after="0" w:line="240" w:lineRule="auto"/>
              <w:rPr>
                <w:rFonts w:ascii="Times New Roman" w:eastAsia="Times New Roman" w:hAnsi="Times New Roman" w:cs="Times New Roman"/>
                <w:color w:val="000000" w:themeColor="text1"/>
                <w:sz w:val="24"/>
                <w:szCs w:val="24"/>
              </w:rPr>
            </w:pPr>
          </w:p>
        </w:tc>
      </w:tr>
      <w:tr w:rsidR="005C4FD7" w:rsidRPr="005C4FD7" w:rsidTr="00611FD9">
        <w:trPr>
          <w:gridAfter w:val="1"/>
          <w:trHeight w:val="300"/>
        </w:trPr>
        <w:tc>
          <w:tcPr>
            <w:tcW w:w="0" w:type="auto"/>
            <w:gridSpan w:val="4"/>
            <w:tcBorders>
              <w:top w:val="nil"/>
              <w:left w:val="nil"/>
              <w:bottom w:val="nil"/>
              <w:right w:val="nil"/>
            </w:tcBorders>
            <w:shd w:val="clear" w:color="auto" w:fill="auto"/>
            <w:noWrap/>
            <w:vAlign w:val="bottom"/>
            <w:hideMark/>
          </w:tcPr>
          <w:p w:rsidR="005C4FD7" w:rsidRPr="005C4FD7" w:rsidRDefault="005C4FD7" w:rsidP="0050138B">
            <w:pPr>
              <w:spacing w:after="0" w:line="240" w:lineRule="auto"/>
              <w:rPr>
                <w:rFonts w:ascii="Times New Roman" w:hAnsi="Times New Roman" w:cs="Times New Roman"/>
                <w:color w:val="000000" w:themeColor="text1"/>
                <w:sz w:val="20"/>
                <w:szCs w:val="24"/>
              </w:rPr>
            </w:pPr>
            <w:r w:rsidRPr="005C4FD7">
              <w:rPr>
                <w:rFonts w:ascii="Times New Roman" w:eastAsia="Times New Roman" w:hAnsi="Times New Roman" w:cs="Times New Roman"/>
                <w:bCs/>
                <w:color w:val="000000" w:themeColor="text1"/>
                <w:sz w:val="20"/>
                <w:szCs w:val="24"/>
              </w:rPr>
              <w:t>Source - Central Bank of Trinidad and Tobago</w:t>
            </w:r>
            <w:r w:rsidRPr="005C4FD7">
              <w:rPr>
                <w:rFonts w:ascii="Times New Roman" w:hAnsi="Times New Roman" w:cs="Times New Roman"/>
                <w:color w:val="000000" w:themeColor="text1"/>
                <w:sz w:val="20"/>
                <w:szCs w:val="24"/>
              </w:rPr>
              <w:t xml:space="preserve"> Economic Bulletin – July 2013 Volume XV </w:t>
            </w:r>
          </w:p>
          <w:p w:rsidR="005C4FD7" w:rsidRPr="00611FD9" w:rsidRDefault="005C4FD7" w:rsidP="0050138B">
            <w:pPr>
              <w:spacing w:after="0" w:line="240" w:lineRule="auto"/>
              <w:rPr>
                <w:rFonts w:ascii="Times New Roman" w:eastAsia="Times New Roman" w:hAnsi="Times New Roman" w:cs="Times New Roman"/>
                <w:b/>
                <w:bCs/>
                <w:color w:val="000000" w:themeColor="text1"/>
                <w:sz w:val="24"/>
                <w:szCs w:val="24"/>
              </w:rPr>
            </w:pPr>
            <w:r w:rsidRPr="005C4FD7">
              <w:rPr>
                <w:rFonts w:ascii="Times New Roman" w:hAnsi="Times New Roman" w:cs="Times New Roman"/>
                <w:color w:val="000000" w:themeColor="text1"/>
                <w:sz w:val="20"/>
                <w:szCs w:val="24"/>
              </w:rPr>
              <w:t xml:space="preserve">No. 2 ISSN: 1818-0027 - </w:t>
            </w:r>
            <w:r w:rsidRPr="005C4FD7">
              <w:rPr>
                <w:rFonts w:ascii="Times New Roman" w:eastAsia="Times New Roman" w:hAnsi="Times New Roman" w:cs="Times New Roman"/>
                <w:bCs/>
                <w:color w:val="000000" w:themeColor="text1"/>
                <w:sz w:val="20"/>
                <w:szCs w:val="24"/>
              </w:rPr>
              <w:t xml:space="preserve">Table 1 Quarterly Gross Domestic Product Index at Constant Prices. </w:t>
            </w:r>
          </w:p>
        </w:tc>
      </w:tr>
    </w:tbl>
    <w:p w:rsidR="00A814F3" w:rsidRDefault="00A814F3" w:rsidP="00B963E0">
      <w:pPr>
        <w:tabs>
          <w:tab w:val="left" w:pos="6780"/>
        </w:tabs>
        <w:spacing w:after="0"/>
        <w:jc w:val="both"/>
        <w:rPr>
          <w:rFonts w:ascii="Times New Roman" w:hAnsi="Times New Roman" w:cs="Times New Roman"/>
          <w:b/>
          <w:sz w:val="24"/>
          <w:szCs w:val="24"/>
        </w:rPr>
      </w:pPr>
    </w:p>
    <w:p w:rsidR="00A814F3" w:rsidRDefault="00A814F3" w:rsidP="00B963E0">
      <w:pPr>
        <w:tabs>
          <w:tab w:val="left" w:pos="6780"/>
        </w:tabs>
        <w:spacing w:after="0"/>
        <w:jc w:val="both"/>
        <w:rPr>
          <w:rFonts w:ascii="Times New Roman" w:hAnsi="Times New Roman" w:cs="Times New Roman"/>
          <w:b/>
          <w:sz w:val="24"/>
          <w:szCs w:val="24"/>
        </w:rPr>
      </w:pPr>
    </w:p>
    <w:p w:rsidR="00A814F3" w:rsidRDefault="00A814F3" w:rsidP="00B963E0">
      <w:pPr>
        <w:tabs>
          <w:tab w:val="left" w:pos="6780"/>
        </w:tabs>
        <w:spacing w:after="0"/>
        <w:jc w:val="both"/>
        <w:rPr>
          <w:rFonts w:ascii="Times New Roman" w:hAnsi="Times New Roman" w:cs="Times New Roman"/>
          <w:b/>
          <w:sz w:val="24"/>
          <w:szCs w:val="24"/>
        </w:rPr>
      </w:pPr>
      <w:r>
        <w:rPr>
          <w:noProof/>
        </w:rPr>
        <w:drawing>
          <wp:inline distT="0" distB="0" distL="0" distR="0" wp14:anchorId="1E12DFA0" wp14:editId="5519C32F">
            <wp:extent cx="5827776" cy="3389376"/>
            <wp:effectExtent l="0" t="0" r="1905" b="190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A814F3" w:rsidRDefault="00A814F3" w:rsidP="00B963E0">
      <w:pPr>
        <w:tabs>
          <w:tab w:val="left" w:pos="6780"/>
        </w:tabs>
        <w:spacing w:after="0"/>
        <w:jc w:val="both"/>
        <w:rPr>
          <w:rFonts w:ascii="Times New Roman" w:hAnsi="Times New Roman" w:cs="Times New Roman"/>
          <w:b/>
          <w:sz w:val="24"/>
          <w:szCs w:val="24"/>
        </w:rPr>
      </w:pPr>
    </w:p>
    <w:p w:rsidR="00A814F3" w:rsidRDefault="00A814F3" w:rsidP="00B963E0">
      <w:pPr>
        <w:tabs>
          <w:tab w:val="left" w:pos="6780"/>
        </w:tabs>
        <w:spacing w:after="0"/>
        <w:jc w:val="both"/>
        <w:rPr>
          <w:rFonts w:ascii="Times New Roman" w:hAnsi="Times New Roman" w:cs="Times New Roman"/>
          <w:b/>
          <w:sz w:val="24"/>
          <w:szCs w:val="24"/>
        </w:rPr>
      </w:pPr>
    </w:p>
    <w:p w:rsidR="00A814F3" w:rsidRDefault="00A814F3" w:rsidP="00B963E0">
      <w:pPr>
        <w:tabs>
          <w:tab w:val="left" w:pos="6780"/>
        </w:tabs>
        <w:spacing w:after="0"/>
        <w:jc w:val="both"/>
        <w:rPr>
          <w:rFonts w:ascii="Times New Roman" w:hAnsi="Times New Roman" w:cs="Times New Roman"/>
          <w:b/>
          <w:sz w:val="24"/>
          <w:szCs w:val="24"/>
        </w:rPr>
      </w:pPr>
    </w:p>
    <w:p w:rsidR="00A814F3" w:rsidRDefault="00A814F3" w:rsidP="00B963E0">
      <w:pPr>
        <w:tabs>
          <w:tab w:val="left" w:pos="6780"/>
        </w:tabs>
        <w:spacing w:after="0"/>
        <w:jc w:val="both"/>
        <w:rPr>
          <w:rFonts w:ascii="Times New Roman" w:hAnsi="Times New Roman" w:cs="Times New Roman"/>
          <w:b/>
          <w:sz w:val="24"/>
          <w:szCs w:val="24"/>
        </w:rPr>
      </w:pPr>
    </w:p>
    <w:p w:rsidR="00A814F3" w:rsidRDefault="00A814F3" w:rsidP="00B963E0">
      <w:pPr>
        <w:tabs>
          <w:tab w:val="left" w:pos="6780"/>
        </w:tabs>
        <w:spacing w:after="0"/>
        <w:jc w:val="both"/>
        <w:rPr>
          <w:rFonts w:ascii="Times New Roman" w:hAnsi="Times New Roman" w:cs="Times New Roman"/>
          <w:b/>
          <w:sz w:val="24"/>
          <w:szCs w:val="24"/>
        </w:rPr>
      </w:pPr>
    </w:p>
    <w:p w:rsidR="00A814F3" w:rsidRDefault="00A814F3" w:rsidP="00B963E0">
      <w:pPr>
        <w:tabs>
          <w:tab w:val="left" w:pos="6780"/>
        </w:tabs>
        <w:spacing w:after="0"/>
        <w:jc w:val="both"/>
        <w:rPr>
          <w:rFonts w:ascii="Times New Roman" w:hAnsi="Times New Roman" w:cs="Times New Roman"/>
          <w:b/>
          <w:sz w:val="24"/>
          <w:szCs w:val="24"/>
        </w:rPr>
      </w:pPr>
    </w:p>
    <w:p w:rsidR="00A814F3" w:rsidRDefault="00A814F3" w:rsidP="00B963E0">
      <w:pPr>
        <w:tabs>
          <w:tab w:val="left" w:pos="6780"/>
        </w:tabs>
        <w:spacing w:after="0"/>
        <w:jc w:val="both"/>
        <w:rPr>
          <w:rFonts w:ascii="Times New Roman" w:hAnsi="Times New Roman" w:cs="Times New Roman"/>
          <w:b/>
          <w:sz w:val="24"/>
          <w:szCs w:val="24"/>
        </w:rPr>
      </w:pPr>
    </w:p>
    <w:p w:rsidR="00B963E0" w:rsidRPr="00611FD9" w:rsidRDefault="00B963E0" w:rsidP="00B963E0">
      <w:pPr>
        <w:tabs>
          <w:tab w:val="left" w:pos="6780"/>
        </w:tabs>
        <w:spacing w:after="0"/>
        <w:jc w:val="both"/>
        <w:rPr>
          <w:rFonts w:ascii="Times New Roman" w:hAnsi="Times New Roman" w:cs="Times New Roman"/>
          <w:sz w:val="24"/>
          <w:szCs w:val="24"/>
        </w:rPr>
      </w:pPr>
      <w:r>
        <w:rPr>
          <w:rFonts w:ascii="Times New Roman" w:hAnsi="Times New Roman" w:cs="Times New Roman"/>
          <w:b/>
          <w:i/>
          <w:sz w:val="24"/>
          <w:szCs w:val="24"/>
        </w:rPr>
        <w:lastRenderedPageBreak/>
        <w:t>Prices</w:t>
      </w:r>
    </w:p>
    <w:p w:rsidR="005C4FD7" w:rsidRPr="005C4FD7" w:rsidRDefault="005C4FD7" w:rsidP="005C4FD7">
      <w:pPr>
        <w:spacing w:after="0"/>
        <w:jc w:val="both"/>
        <w:rPr>
          <w:rFonts w:ascii="Times New Roman" w:hAnsi="Times New Roman" w:cs="Times New Roman"/>
          <w:sz w:val="24"/>
          <w:szCs w:val="24"/>
        </w:rPr>
      </w:pPr>
      <w:r w:rsidRPr="005C4FD7">
        <w:rPr>
          <w:rFonts w:ascii="Times New Roman" w:hAnsi="Times New Roman" w:cs="Times New Roman"/>
          <w:sz w:val="24"/>
          <w:szCs w:val="24"/>
        </w:rPr>
        <w:t>Data obtained from Central Bank of Trinidad and Tobago for the Food Price Inflation and Headline Inflation also indicates a reduction in the Food Price Inflation Rate from the first quarter 2012 to May 2013. The year on year percentage change in the Food Price Inflation Rate moved from 24.1% in Q2 2012 to 9.6% in May 2013. There was also a reduction in the Headline Inflation Rate moving from 11% in Q2 2012 to 3% in October 2013. This is shown in Table 2 below.</w:t>
      </w:r>
    </w:p>
    <w:p w:rsidR="005C4FD7" w:rsidRPr="005C4FD7" w:rsidRDefault="005C4FD7" w:rsidP="005C4FD7">
      <w:pPr>
        <w:pStyle w:val="ListParagraph"/>
        <w:spacing w:after="0" w:line="240" w:lineRule="auto"/>
        <w:ind w:left="567"/>
        <w:jc w:val="both"/>
        <w:rPr>
          <w:rFonts w:ascii="Times New Roman" w:hAnsi="Times New Roman" w:cs="Times New Roman"/>
          <w:sz w:val="24"/>
          <w:szCs w:val="24"/>
        </w:rPr>
      </w:pPr>
    </w:p>
    <w:tbl>
      <w:tblPr>
        <w:tblW w:w="0" w:type="auto"/>
        <w:tblInd w:w="675" w:type="dxa"/>
        <w:tblLook w:val="04A0" w:firstRow="1" w:lastRow="0" w:firstColumn="1" w:lastColumn="0" w:noHBand="0" w:noVBand="1"/>
      </w:tblPr>
      <w:tblGrid>
        <w:gridCol w:w="3473"/>
        <w:gridCol w:w="3237"/>
        <w:gridCol w:w="2191"/>
      </w:tblGrid>
      <w:tr w:rsidR="005C4FD7" w:rsidRPr="005C4FD7" w:rsidTr="005C4FD7">
        <w:trPr>
          <w:trHeight w:val="300"/>
        </w:trPr>
        <w:tc>
          <w:tcPr>
            <w:tcW w:w="0" w:type="auto"/>
            <w:gridSpan w:val="3"/>
            <w:tcBorders>
              <w:top w:val="nil"/>
              <w:left w:val="nil"/>
              <w:right w:val="nil"/>
            </w:tcBorders>
            <w:shd w:val="clear" w:color="auto" w:fill="auto"/>
            <w:noWrap/>
            <w:vAlign w:val="bottom"/>
            <w:hideMark/>
          </w:tcPr>
          <w:p w:rsidR="005C4FD7" w:rsidRPr="005C4FD7" w:rsidRDefault="005C4FD7" w:rsidP="005C4FD7">
            <w:pPr>
              <w:spacing w:after="0" w:line="240" w:lineRule="auto"/>
              <w:ind w:left="34"/>
              <w:rPr>
                <w:rFonts w:ascii="Times New Roman" w:eastAsia="Times New Roman" w:hAnsi="Times New Roman" w:cs="Times New Roman"/>
                <w:b/>
                <w:bCs/>
                <w:color w:val="000000" w:themeColor="text1"/>
                <w:sz w:val="24"/>
                <w:szCs w:val="24"/>
              </w:rPr>
            </w:pPr>
            <w:r w:rsidRPr="005C4FD7">
              <w:rPr>
                <w:rFonts w:ascii="Times New Roman" w:eastAsia="Times New Roman" w:hAnsi="Times New Roman" w:cs="Times New Roman"/>
                <w:b/>
                <w:bCs/>
                <w:color w:val="000000" w:themeColor="text1"/>
                <w:sz w:val="20"/>
                <w:szCs w:val="24"/>
              </w:rPr>
              <w:t>Table 2 - Year on Year Food Inflation Rate and Headline Inflation Rate – Q2 2012 to October  2013</w:t>
            </w:r>
          </w:p>
        </w:tc>
      </w:tr>
      <w:tr w:rsidR="005C4FD7" w:rsidRPr="005C4FD7" w:rsidTr="00611FD9">
        <w:trPr>
          <w:trHeight w:val="713"/>
        </w:trPr>
        <w:tc>
          <w:tcPr>
            <w:tcW w:w="0" w:type="auto"/>
            <w:tcBorders>
              <w:top w:val="single" w:sz="4" w:space="0" w:color="auto"/>
              <w:left w:val="single" w:sz="4" w:space="0" w:color="auto"/>
              <w:bottom w:val="single" w:sz="4" w:space="0" w:color="auto"/>
              <w:right w:val="nil"/>
            </w:tcBorders>
            <w:shd w:val="clear" w:color="auto" w:fill="auto"/>
            <w:noWrap/>
            <w:vAlign w:val="center"/>
            <w:hideMark/>
          </w:tcPr>
          <w:p w:rsidR="005C4FD7" w:rsidRPr="00611FD9" w:rsidRDefault="005C4FD7" w:rsidP="0050138B">
            <w:pPr>
              <w:spacing w:after="0" w:line="240" w:lineRule="auto"/>
              <w:rPr>
                <w:rFonts w:ascii="Times New Roman" w:eastAsia="Times New Roman" w:hAnsi="Times New Roman" w:cs="Times New Roman"/>
                <w:b/>
                <w:bCs/>
                <w:color w:val="000000" w:themeColor="text1"/>
                <w:szCs w:val="24"/>
              </w:rPr>
            </w:pPr>
            <w:r w:rsidRPr="00611FD9">
              <w:rPr>
                <w:rFonts w:ascii="Times New Roman" w:eastAsia="Times New Roman" w:hAnsi="Times New Roman" w:cs="Times New Roman"/>
                <w:b/>
                <w:bCs/>
                <w:color w:val="000000" w:themeColor="text1"/>
                <w:szCs w:val="24"/>
              </w:rPr>
              <w:t xml:space="preserve">Period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5C4FD7" w:rsidRPr="00611FD9" w:rsidRDefault="005C4FD7" w:rsidP="0050138B">
            <w:pPr>
              <w:spacing w:after="0" w:line="240" w:lineRule="auto"/>
              <w:jc w:val="center"/>
              <w:rPr>
                <w:rFonts w:ascii="Times New Roman" w:eastAsia="Times New Roman" w:hAnsi="Times New Roman" w:cs="Times New Roman"/>
                <w:b/>
                <w:bCs/>
                <w:color w:val="000000" w:themeColor="text1"/>
                <w:szCs w:val="24"/>
              </w:rPr>
            </w:pPr>
            <w:r w:rsidRPr="00611FD9">
              <w:rPr>
                <w:rFonts w:ascii="Times New Roman" w:eastAsia="Times New Roman" w:hAnsi="Times New Roman" w:cs="Times New Roman"/>
                <w:b/>
                <w:bCs/>
                <w:color w:val="000000" w:themeColor="text1"/>
                <w:szCs w:val="24"/>
              </w:rPr>
              <w:t xml:space="preserve">Year on year % change Food Inflation Rate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C4FD7" w:rsidRPr="005C4FD7" w:rsidRDefault="005C4FD7" w:rsidP="0050138B">
            <w:pPr>
              <w:spacing w:after="0" w:line="240" w:lineRule="auto"/>
              <w:jc w:val="center"/>
              <w:rPr>
                <w:rFonts w:ascii="Times New Roman" w:eastAsia="Times New Roman" w:hAnsi="Times New Roman" w:cs="Times New Roman"/>
                <w:b/>
                <w:bCs/>
                <w:color w:val="000000" w:themeColor="text1"/>
                <w:sz w:val="24"/>
                <w:szCs w:val="24"/>
              </w:rPr>
            </w:pPr>
            <w:r w:rsidRPr="005C4FD7">
              <w:rPr>
                <w:rFonts w:ascii="Times New Roman" w:eastAsia="Times New Roman" w:hAnsi="Times New Roman" w:cs="Times New Roman"/>
                <w:b/>
                <w:bCs/>
                <w:color w:val="000000" w:themeColor="text1"/>
                <w:sz w:val="24"/>
                <w:szCs w:val="24"/>
              </w:rPr>
              <w:t>Headline Inflation Rate (%)</w:t>
            </w:r>
          </w:p>
        </w:tc>
      </w:tr>
      <w:tr w:rsidR="005C4FD7" w:rsidRPr="005C4FD7" w:rsidTr="005C4FD7">
        <w:trPr>
          <w:trHeight w:val="315"/>
        </w:trPr>
        <w:tc>
          <w:tcPr>
            <w:tcW w:w="0" w:type="auto"/>
            <w:tcBorders>
              <w:top w:val="single" w:sz="4" w:space="0" w:color="auto"/>
              <w:left w:val="single" w:sz="4" w:space="0" w:color="auto"/>
              <w:bottom w:val="nil"/>
              <w:right w:val="nil"/>
            </w:tcBorders>
            <w:shd w:val="clear" w:color="auto" w:fill="auto"/>
            <w:noWrap/>
            <w:vAlign w:val="bottom"/>
            <w:hideMark/>
          </w:tcPr>
          <w:p w:rsidR="005C4FD7" w:rsidRPr="00611FD9" w:rsidRDefault="005C4FD7" w:rsidP="0050138B">
            <w:pPr>
              <w:spacing w:after="0" w:line="240" w:lineRule="auto"/>
              <w:rPr>
                <w:rFonts w:ascii="Times New Roman" w:eastAsia="Times New Roman" w:hAnsi="Times New Roman" w:cs="Times New Roman"/>
                <w:bCs/>
                <w:color w:val="000000" w:themeColor="text1"/>
                <w:szCs w:val="24"/>
              </w:rPr>
            </w:pPr>
          </w:p>
          <w:p w:rsidR="005C4FD7" w:rsidRPr="00611FD9" w:rsidRDefault="005C4FD7" w:rsidP="0050138B">
            <w:pPr>
              <w:spacing w:after="0" w:line="240" w:lineRule="auto"/>
              <w:rPr>
                <w:rFonts w:ascii="Times New Roman" w:eastAsia="Times New Roman" w:hAnsi="Times New Roman" w:cs="Times New Roman"/>
                <w:bCs/>
                <w:color w:val="000000" w:themeColor="text1"/>
                <w:szCs w:val="24"/>
              </w:rPr>
            </w:pPr>
            <w:r w:rsidRPr="00611FD9">
              <w:rPr>
                <w:rFonts w:ascii="Times New Roman" w:eastAsia="Times New Roman" w:hAnsi="Times New Roman" w:cs="Times New Roman"/>
                <w:bCs/>
                <w:color w:val="000000" w:themeColor="text1"/>
                <w:szCs w:val="24"/>
              </w:rPr>
              <w:t>2012 Q2 (April - June 2012)</w:t>
            </w:r>
          </w:p>
        </w:tc>
        <w:tc>
          <w:tcPr>
            <w:tcW w:w="0" w:type="auto"/>
            <w:tcBorders>
              <w:top w:val="single" w:sz="4" w:space="0" w:color="auto"/>
              <w:left w:val="single" w:sz="4" w:space="0" w:color="auto"/>
              <w:bottom w:val="nil"/>
              <w:right w:val="single" w:sz="4" w:space="0" w:color="auto"/>
            </w:tcBorders>
            <w:shd w:val="clear" w:color="auto" w:fill="auto"/>
            <w:noWrap/>
            <w:vAlign w:val="bottom"/>
            <w:hideMark/>
          </w:tcPr>
          <w:p w:rsidR="005C4FD7" w:rsidRPr="00611FD9" w:rsidRDefault="005C4FD7" w:rsidP="0050138B">
            <w:pPr>
              <w:spacing w:after="0" w:line="240" w:lineRule="auto"/>
              <w:jc w:val="center"/>
              <w:rPr>
                <w:rFonts w:ascii="Times New Roman" w:eastAsia="Times New Roman" w:hAnsi="Times New Roman" w:cs="Times New Roman"/>
                <w:color w:val="000000" w:themeColor="text1"/>
                <w:szCs w:val="24"/>
              </w:rPr>
            </w:pPr>
            <w:r w:rsidRPr="00611FD9">
              <w:rPr>
                <w:rFonts w:ascii="Times New Roman" w:eastAsia="Times New Roman" w:hAnsi="Times New Roman" w:cs="Times New Roman"/>
                <w:color w:val="000000" w:themeColor="text1"/>
                <w:szCs w:val="24"/>
              </w:rPr>
              <w:t>24.1</w:t>
            </w:r>
          </w:p>
        </w:tc>
        <w:tc>
          <w:tcPr>
            <w:tcW w:w="0" w:type="auto"/>
            <w:tcBorders>
              <w:top w:val="single" w:sz="4" w:space="0" w:color="auto"/>
              <w:left w:val="nil"/>
              <w:bottom w:val="nil"/>
              <w:right w:val="single" w:sz="4" w:space="0" w:color="auto"/>
            </w:tcBorders>
            <w:shd w:val="clear" w:color="auto" w:fill="auto"/>
            <w:noWrap/>
            <w:vAlign w:val="bottom"/>
            <w:hideMark/>
          </w:tcPr>
          <w:p w:rsidR="005C4FD7" w:rsidRPr="005C4FD7" w:rsidRDefault="005C4FD7" w:rsidP="0050138B">
            <w:pPr>
              <w:spacing w:after="0" w:line="240" w:lineRule="auto"/>
              <w:jc w:val="center"/>
              <w:rPr>
                <w:rFonts w:ascii="Times New Roman" w:eastAsia="Times New Roman" w:hAnsi="Times New Roman" w:cs="Times New Roman"/>
                <w:color w:val="000000" w:themeColor="text1"/>
                <w:sz w:val="24"/>
                <w:szCs w:val="24"/>
              </w:rPr>
            </w:pPr>
            <w:r w:rsidRPr="005C4FD7">
              <w:rPr>
                <w:rFonts w:ascii="Times New Roman" w:eastAsia="Times New Roman" w:hAnsi="Times New Roman" w:cs="Times New Roman"/>
                <w:color w:val="000000" w:themeColor="text1"/>
                <w:sz w:val="24"/>
                <w:szCs w:val="24"/>
              </w:rPr>
              <w:t>11</w:t>
            </w:r>
          </w:p>
        </w:tc>
      </w:tr>
      <w:tr w:rsidR="005C4FD7" w:rsidRPr="005C4FD7" w:rsidTr="005C4FD7">
        <w:trPr>
          <w:trHeight w:val="300"/>
        </w:trPr>
        <w:tc>
          <w:tcPr>
            <w:tcW w:w="0" w:type="auto"/>
            <w:tcBorders>
              <w:top w:val="nil"/>
              <w:left w:val="single" w:sz="4" w:space="0" w:color="auto"/>
              <w:bottom w:val="nil"/>
              <w:right w:val="nil"/>
            </w:tcBorders>
            <w:shd w:val="clear" w:color="auto" w:fill="auto"/>
            <w:noWrap/>
            <w:vAlign w:val="bottom"/>
            <w:hideMark/>
          </w:tcPr>
          <w:p w:rsidR="005C4FD7" w:rsidRPr="00611FD9" w:rsidRDefault="005C4FD7" w:rsidP="0050138B">
            <w:pPr>
              <w:spacing w:after="0" w:line="240" w:lineRule="auto"/>
              <w:rPr>
                <w:rFonts w:ascii="Times New Roman" w:eastAsia="Times New Roman" w:hAnsi="Times New Roman" w:cs="Times New Roman"/>
                <w:bCs/>
                <w:color w:val="000000" w:themeColor="text1"/>
                <w:szCs w:val="24"/>
              </w:rPr>
            </w:pPr>
          </w:p>
          <w:p w:rsidR="005C4FD7" w:rsidRPr="00611FD9" w:rsidRDefault="005C4FD7" w:rsidP="0050138B">
            <w:pPr>
              <w:spacing w:after="0" w:line="240" w:lineRule="auto"/>
              <w:rPr>
                <w:rFonts w:ascii="Times New Roman" w:eastAsia="Times New Roman" w:hAnsi="Times New Roman" w:cs="Times New Roman"/>
                <w:bCs/>
                <w:color w:val="000000" w:themeColor="text1"/>
                <w:szCs w:val="24"/>
              </w:rPr>
            </w:pPr>
            <w:r w:rsidRPr="00611FD9">
              <w:rPr>
                <w:rFonts w:ascii="Times New Roman" w:eastAsia="Times New Roman" w:hAnsi="Times New Roman" w:cs="Times New Roman"/>
                <w:bCs/>
                <w:color w:val="000000" w:themeColor="text1"/>
                <w:szCs w:val="24"/>
              </w:rPr>
              <w:t>2012 Q3 (July - September 20120</w:t>
            </w:r>
          </w:p>
        </w:tc>
        <w:tc>
          <w:tcPr>
            <w:tcW w:w="0" w:type="auto"/>
            <w:tcBorders>
              <w:top w:val="nil"/>
              <w:left w:val="single" w:sz="4" w:space="0" w:color="auto"/>
              <w:bottom w:val="nil"/>
              <w:right w:val="single" w:sz="4" w:space="0" w:color="auto"/>
            </w:tcBorders>
            <w:shd w:val="clear" w:color="auto" w:fill="auto"/>
            <w:noWrap/>
            <w:vAlign w:val="bottom"/>
            <w:hideMark/>
          </w:tcPr>
          <w:p w:rsidR="005C4FD7" w:rsidRPr="00611FD9" w:rsidRDefault="005C4FD7" w:rsidP="0050138B">
            <w:pPr>
              <w:spacing w:after="0" w:line="240" w:lineRule="auto"/>
              <w:jc w:val="center"/>
              <w:rPr>
                <w:rFonts w:ascii="Times New Roman" w:eastAsia="Times New Roman" w:hAnsi="Times New Roman" w:cs="Times New Roman"/>
                <w:color w:val="000000" w:themeColor="text1"/>
                <w:szCs w:val="24"/>
              </w:rPr>
            </w:pPr>
            <w:r w:rsidRPr="00611FD9">
              <w:rPr>
                <w:rFonts w:ascii="Times New Roman" w:eastAsia="Times New Roman" w:hAnsi="Times New Roman" w:cs="Times New Roman"/>
                <w:color w:val="000000" w:themeColor="text1"/>
                <w:szCs w:val="24"/>
              </w:rPr>
              <w:t>14.7</w:t>
            </w:r>
          </w:p>
        </w:tc>
        <w:tc>
          <w:tcPr>
            <w:tcW w:w="0" w:type="auto"/>
            <w:tcBorders>
              <w:top w:val="nil"/>
              <w:left w:val="nil"/>
              <w:bottom w:val="nil"/>
              <w:right w:val="single" w:sz="4" w:space="0" w:color="auto"/>
            </w:tcBorders>
            <w:shd w:val="clear" w:color="auto" w:fill="auto"/>
            <w:noWrap/>
            <w:vAlign w:val="bottom"/>
            <w:hideMark/>
          </w:tcPr>
          <w:p w:rsidR="005C4FD7" w:rsidRPr="005C4FD7" w:rsidRDefault="005C4FD7" w:rsidP="0050138B">
            <w:pPr>
              <w:spacing w:after="0" w:line="240" w:lineRule="auto"/>
              <w:jc w:val="center"/>
              <w:rPr>
                <w:rFonts w:ascii="Times New Roman" w:eastAsia="Times New Roman" w:hAnsi="Times New Roman" w:cs="Times New Roman"/>
                <w:color w:val="000000" w:themeColor="text1"/>
                <w:sz w:val="24"/>
                <w:szCs w:val="24"/>
              </w:rPr>
            </w:pPr>
            <w:r w:rsidRPr="005C4FD7">
              <w:rPr>
                <w:rFonts w:ascii="Times New Roman" w:eastAsia="Times New Roman" w:hAnsi="Times New Roman" w:cs="Times New Roman"/>
                <w:color w:val="000000" w:themeColor="text1"/>
                <w:sz w:val="24"/>
                <w:szCs w:val="24"/>
              </w:rPr>
              <w:t>7.7</w:t>
            </w:r>
          </w:p>
        </w:tc>
      </w:tr>
      <w:tr w:rsidR="005C4FD7" w:rsidRPr="005C4FD7" w:rsidTr="005C4FD7">
        <w:trPr>
          <w:trHeight w:val="300"/>
        </w:trPr>
        <w:tc>
          <w:tcPr>
            <w:tcW w:w="0" w:type="auto"/>
            <w:tcBorders>
              <w:top w:val="nil"/>
              <w:left w:val="single" w:sz="4" w:space="0" w:color="auto"/>
              <w:bottom w:val="nil"/>
              <w:right w:val="nil"/>
            </w:tcBorders>
            <w:shd w:val="clear" w:color="auto" w:fill="auto"/>
            <w:noWrap/>
            <w:vAlign w:val="bottom"/>
            <w:hideMark/>
          </w:tcPr>
          <w:p w:rsidR="005C4FD7" w:rsidRPr="00611FD9" w:rsidRDefault="005C4FD7" w:rsidP="0050138B">
            <w:pPr>
              <w:spacing w:after="0" w:line="240" w:lineRule="auto"/>
              <w:rPr>
                <w:rFonts w:ascii="Times New Roman" w:eastAsia="Times New Roman" w:hAnsi="Times New Roman" w:cs="Times New Roman"/>
                <w:bCs/>
                <w:color w:val="000000" w:themeColor="text1"/>
                <w:szCs w:val="24"/>
              </w:rPr>
            </w:pPr>
          </w:p>
          <w:p w:rsidR="005C4FD7" w:rsidRPr="00611FD9" w:rsidRDefault="005C4FD7" w:rsidP="0050138B">
            <w:pPr>
              <w:spacing w:after="0" w:line="240" w:lineRule="auto"/>
              <w:rPr>
                <w:rFonts w:ascii="Times New Roman" w:eastAsia="Times New Roman" w:hAnsi="Times New Roman" w:cs="Times New Roman"/>
                <w:bCs/>
                <w:color w:val="000000" w:themeColor="text1"/>
                <w:szCs w:val="24"/>
              </w:rPr>
            </w:pPr>
            <w:r w:rsidRPr="00611FD9">
              <w:rPr>
                <w:rFonts w:ascii="Times New Roman" w:eastAsia="Times New Roman" w:hAnsi="Times New Roman" w:cs="Times New Roman"/>
                <w:bCs/>
                <w:color w:val="000000" w:themeColor="text1"/>
                <w:szCs w:val="24"/>
              </w:rPr>
              <w:t>2012 Q4 (October - December 2012)</w:t>
            </w:r>
          </w:p>
        </w:tc>
        <w:tc>
          <w:tcPr>
            <w:tcW w:w="0" w:type="auto"/>
            <w:tcBorders>
              <w:top w:val="nil"/>
              <w:left w:val="single" w:sz="4" w:space="0" w:color="auto"/>
              <w:bottom w:val="nil"/>
              <w:right w:val="single" w:sz="4" w:space="0" w:color="auto"/>
            </w:tcBorders>
            <w:shd w:val="clear" w:color="auto" w:fill="auto"/>
            <w:noWrap/>
            <w:vAlign w:val="bottom"/>
            <w:hideMark/>
          </w:tcPr>
          <w:p w:rsidR="005C4FD7" w:rsidRPr="00611FD9" w:rsidRDefault="005C4FD7" w:rsidP="0050138B">
            <w:pPr>
              <w:spacing w:after="0" w:line="240" w:lineRule="auto"/>
              <w:jc w:val="center"/>
              <w:rPr>
                <w:rFonts w:ascii="Times New Roman" w:eastAsia="Times New Roman" w:hAnsi="Times New Roman" w:cs="Times New Roman"/>
                <w:color w:val="000000" w:themeColor="text1"/>
                <w:szCs w:val="24"/>
              </w:rPr>
            </w:pPr>
            <w:r w:rsidRPr="00611FD9">
              <w:rPr>
                <w:rFonts w:ascii="Times New Roman" w:eastAsia="Times New Roman" w:hAnsi="Times New Roman" w:cs="Times New Roman"/>
                <w:color w:val="000000" w:themeColor="text1"/>
                <w:szCs w:val="24"/>
              </w:rPr>
              <w:t>12.7</w:t>
            </w:r>
          </w:p>
        </w:tc>
        <w:tc>
          <w:tcPr>
            <w:tcW w:w="0" w:type="auto"/>
            <w:tcBorders>
              <w:top w:val="nil"/>
              <w:left w:val="nil"/>
              <w:bottom w:val="nil"/>
              <w:right w:val="single" w:sz="4" w:space="0" w:color="auto"/>
            </w:tcBorders>
            <w:shd w:val="clear" w:color="auto" w:fill="auto"/>
            <w:noWrap/>
            <w:vAlign w:val="bottom"/>
            <w:hideMark/>
          </w:tcPr>
          <w:p w:rsidR="005C4FD7" w:rsidRPr="005C4FD7" w:rsidRDefault="005C4FD7" w:rsidP="0050138B">
            <w:pPr>
              <w:spacing w:after="0" w:line="240" w:lineRule="auto"/>
              <w:jc w:val="center"/>
              <w:rPr>
                <w:rFonts w:ascii="Times New Roman" w:eastAsia="Times New Roman" w:hAnsi="Times New Roman" w:cs="Times New Roman"/>
                <w:color w:val="000000" w:themeColor="text1"/>
                <w:sz w:val="24"/>
                <w:szCs w:val="24"/>
              </w:rPr>
            </w:pPr>
            <w:r w:rsidRPr="005C4FD7">
              <w:rPr>
                <w:rFonts w:ascii="Times New Roman" w:eastAsia="Times New Roman" w:hAnsi="Times New Roman" w:cs="Times New Roman"/>
                <w:color w:val="000000" w:themeColor="text1"/>
                <w:sz w:val="24"/>
                <w:szCs w:val="24"/>
              </w:rPr>
              <w:t>7.2</w:t>
            </w:r>
          </w:p>
        </w:tc>
      </w:tr>
      <w:tr w:rsidR="005C4FD7" w:rsidRPr="005C4FD7" w:rsidTr="005C4FD7">
        <w:trPr>
          <w:trHeight w:val="300"/>
        </w:trPr>
        <w:tc>
          <w:tcPr>
            <w:tcW w:w="0" w:type="auto"/>
            <w:tcBorders>
              <w:top w:val="nil"/>
              <w:left w:val="single" w:sz="4" w:space="0" w:color="auto"/>
              <w:bottom w:val="nil"/>
              <w:right w:val="nil"/>
            </w:tcBorders>
            <w:shd w:val="clear" w:color="auto" w:fill="auto"/>
            <w:noWrap/>
            <w:vAlign w:val="bottom"/>
            <w:hideMark/>
          </w:tcPr>
          <w:p w:rsidR="005C4FD7" w:rsidRPr="00611FD9" w:rsidRDefault="005C4FD7" w:rsidP="0050138B">
            <w:pPr>
              <w:spacing w:after="0" w:line="240" w:lineRule="auto"/>
              <w:rPr>
                <w:rFonts w:ascii="Times New Roman" w:eastAsia="Times New Roman" w:hAnsi="Times New Roman" w:cs="Times New Roman"/>
                <w:bCs/>
                <w:color w:val="000000" w:themeColor="text1"/>
                <w:szCs w:val="24"/>
              </w:rPr>
            </w:pPr>
          </w:p>
          <w:p w:rsidR="005C4FD7" w:rsidRPr="00611FD9" w:rsidRDefault="005C4FD7" w:rsidP="0050138B">
            <w:pPr>
              <w:spacing w:after="0" w:line="240" w:lineRule="auto"/>
              <w:rPr>
                <w:rFonts w:ascii="Times New Roman" w:eastAsia="Times New Roman" w:hAnsi="Times New Roman" w:cs="Times New Roman"/>
                <w:bCs/>
                <w:color w:val="000000" w:themeColor="text1"/>
                <w:szCs w:val="24"/>
              </w:rPr>
            </w:pPr>
            <w:r w:rsidRPr="00611FD9">
              <w:rPr>
                <w:rFonts w:ascii="Times New Roman" w:eastAsia="Times New Roman" w:hAnsi="Times New Roman" w:cs="Times New Roman"/>
                <w:bCs/>
                <w:color w:val="000000" w:themeColor="text1"/>
                <w:szCs w:val="24"/>
              </w:rPr>
              <w:t>January 2013</w:t>
            </w:r>
          </w:p>
        </w:tc>
        <w:tc>
          <w:tcPr>
            <w:tcW w:w="0" w:type="auto"/>
            <w:tcBorders>
              <w:top w:val="nil"/>
              <w:left w:val="single" w:sz="4" w:space="0" w:color="auto"/>
              <w:bottom w:val="nil"/>
              <w:right w:val="single" w:sz="4" w:space="0" w:color="auto"/>
            </w:tcBorders>
            <w:shd w:val="clear" w:color="auto" w:fill="auto"/>
            <w:noWrap/>
            <w:vAlign w:val="bottom"/>
            <w:hideMark/>
          </w:tcPr>
          <w:p w:rsidR="005C4FD7" w:rsidRPr="00611FD9" w:rsidRDefault="005C4FD7" w:rsidP="0050138B">
            <w:pPr>
              <w:spacing w:after="0" w:line="240" w:lineRule="auto"/>
              <w:jc w:val="center"/>
              <w:rPr>
                <w:rFonts w:ascii="Times New Roman" w:eastAsia="Times New Roman" w:hAnsi="Times New Roman" w:cs="Times New Roman"/>
                <w:color w:val="000000" w:themeColor="text1"/>
                <w:szCs w:val="24"/>
              </w:rPr>
            </w:pPr>
            <w:r w:rsidRPr="00611FD9">
              <w:rPr>
                <w:rFonts w:ascii="Times New Roman" w:eastAsia="Times New Roman" w:hAnsi="Times New Roman" w:cs="Times New Roman"/>
                <w:color w:val="000000" w:themeColor="text1"/>
                <w:szCs w:val="24"/>
              </w:rPr>
              <w:t>13.8</w:t>
            </w:r>
          </w:p>
        </w:tc>
        <w:tc>
          <w:tcPr>
            <w:tcW w:w="0" w:type="auto"/>
            <w:tcBorders>
              <w:top w:val="nil"/>
              <w:left w:val="nil"/>
              <w:bottom w:val="nil"/>
              <w:right w:val="single" w:sz="4" w:space="0" w:color="auto"/>
            </w:tcBorders>
            <w:shd w:val="clear" w:color="auto" w:fill="auto"/>
            <w:noWrap/>
            <w:vAlign w:val="bottom"/>
            <w:hideMark/>
          </w:tcPr>
          <w:p w:rsidR="005C4FD7" w:rsidRPr="005C4FD7" w:rsidRDefault="005C4FD7" w:rsidP="0050138B">
            <w:pPr>
              <w:spacing w:after="0" w:line="240" w:lineRule="auto"/>
              <w:jc w:val="center"/>
              <w:rPr>
                <w:rFonts w:ascii="Times New Roman" w:eastAsia="Times New Roman" w:hAnsi="Times New Roman" w:cs="Times New Roman"/>
                <w:color w:val="000000" w:themeColor="text1"/>
                <w:sz w:val="24"/>
                <w:szCs w:val="24"/>
              </w:rPr>
            </w:pPr>
            <w:r w:rsidRPr="005C4FD7">
              <w:rPr>
                <w:rFonts w:ascii="Times New Roman" w:eastAsia="Times New Roman" w:hAnsi="Times New Roman" w:cs="Times New Roman"/>
                <w:color w:val="000000" w:themeColor="text1"/>
                <w:sz w:val="24"/>
                <w:szCs w:val="24"/>
              </w:rPr>
              <w:t>7.3</w:t>
            </w:r>
          </w:p>
        </w:tc>
      </w:tr>
      <w:tr w:rsidR="005C4FD7" w:rsidRPr="005C4FD7" w:rsidTr="005C4FD7">
        <w:trPr>
          <w:trHeight w:val="300"/>
        </w:trPr>
        <w:tc>
          <w:tcPr>
            <w:tcW w:w="0" w:type="auto"/>
            <w:tcBorders>
              <w:top w:val="nil"/>
              <w:left w:val="single" w:sz="4" w:space="0" w:color="auto"/>
              <w:bottom w:val="nil"/>
              <w:right w:val="nil"/>
            </w:tcBorders>
            <w:shd w:val="clear" w:color="auto" w:fill="auto"/>
            <w:noWrap/>
            <w:vAlign w:val="bottom"/>
            <w:hideMark/>
          </w:tcPr>
          <w:p w:rsidR="005C4FD7" w:rsidRPr="00611FD9" w:rsidRDefault="005C4FD7" w:rsidP="0050138B">
            <w:pPr>
              <w:spacing w:after="0" w:line="240" w:lineRule="auto"/>
              <w:rPr>
                <w:rFonts w:ascii="Times New Roman" w:eastAsia="Times New Roman" w:hAnsi="Times New Roman" w:cs="Times New Roman"/>
                <w:bCs/>
                <w:color w:val="000000" w:themeColor="text1"/>
                <w:szCs w:val="24"/>
              </w:rPr>
            </w:pPr>
          </w:p>
          <w:p w:rsidR="005C4FD7" w:rsidRPr="00611FD9" w:rsidRDefault="005C4FD7" w:rsidP="0050138B">
            <w:pPr>
              <w:spacing w:after="0" w:line="240" w:lineRule="auto"/>
              <w:rPr>
                <w:rFonts w:ascii="Times New Roman" w:eastAsia="Times New Roman" w:hAnsi="Times New Roman" w:cs="Times New Roman"/>
                <w:bCs/>
                <w:color w:val="000000" w:themeColor="text1"/>
                <w:szCs w:val="24"/>
              </w:rPr>
            </w:pPr>
            <w:r w:rsidRPr="00611FD9">
              <w:rPr>
                <w:rFonts w:ascii="Times New Roman" w:eastAsia="Times New Roman" w:hAnsi="Times New Roman" w:cs="Times New Roman"/>
                <w:bCs/>
                <w:color w:val="000000" w:themeColor="text1"/>
                <w:szCs w:val="24"/>
              </w:rPr>
              <w:t>February 2013</w:t>
            </w:r>
          </w:p>
        </w:tc>
        <w:tc>
          <w:tcPr>
            <w:tcW w:w="0" w:type="auto"/>
            <w:tcBorders>
              <w:top w:val="nil"/>
              <w:left w:val="single" w:sz="4" w:space="0" w:color="auto"/>
              <w:bottom w:val="nil"/>
              <w:right w:val="single" w:sz="4" w:space="0" w:color="auto"/>
            </w:tcBorders>
            <w:shd w:val="clear" w:color="auto" w:fill="auto"/>
            <w:noWrap/>
            <w:vAlign w:val="bottom"/>
            <w:hideMark/>
          </w:tcPr>
          <w:p w:rsidR="005C4FD7" w:rsidRPr="00611FD9" w:rsidRDefault="005C4FD7" w:rsidP="0050138B">
            <w:pPr>
              <w:spacing w:after="0" w:line="240" w:lineRule="auto"/>
              <w:jc w:val="center"/>
              <w:rPr>
                <w:rFonts w:ascii="Times New Roman" w:eastAsia="Times New Roman" w:hAnsi="Times New Roman" w:cs="Times New Roman"/>
                <w:color w:val="000000" w:themeColor="text1"/>
                <w:szCs w:val="24"/>
              </w:rPr>
            </w:pPr>
            <w:r w:rsidRPr="00611FD9">
              <w:rPr>
                <w:rFonts w:ascii="Times New Roman" w:eastAsia="Times New Roman" w:hAnsi="Times New Roman" w:cs="Times New Roman"/>
                <w:color w:val="000000" w:themeColor="text1"/>
                <w:szCs w:val="24"/>
              </w:rPr>
              <w:t>10.6</w:t>
            </w:r>
          </w:p>
        </w:tc>
        <w:tc>
          <w:tcPr>
            <w:tcW w:w="0" w:type="auto"/>
            <w:tcBorders>
              <w:top w:val="nil"/>
              <w:left w:val="nil"/>
              <w:bottom w:val="nil"/>
              <w:right w:val="single" w:sz="4" w:space="0" w:color="auto"/>
            </w:tcBorders>
            <w:shd w:val="clear" w:color="auto" w:fill="auto"/>
            <w:noWrap/>
            <w:vAlign w:val="bottom"/>
            <w:hideMark/>
          </w:tcPr>
          <w:p w:rsidR="005C4FD7" w:rsidRPr="005C4FD7" w:rsidRDefault="005C4FD7" w:rsidP="0050138B">
            <w:pPr>
              <w:spacing w:after="0" w:line="240" w:lineRule="auto"/>
              <w:jc w:val="center"/>
              <w:rPr>
                <w:rFonts w:ascii="Times New Roman" w:eastAsia="Times New Roman" w:hAnsi="Times New Roman" w:cs="Times New Roman"/>
                <w:color w:val="000000" w:themeColor="text1"/>
                <w:sz w:val="24"/>
                <w:szCs w:val="24"/>
              </w:rPr>
            </w:pPr>
            <w:r w:rsidRPr="005C4FD7">
              <w:rPr>
                <w:rFonts w:ascii="Times New Roman" w:eastAsia="Times New Roman" w:hAnsi="Times New Roman" w:cs="Times New Roman"/>
                <w:color w:val="000000" w:themeColor="text1"/>
                <w:sz w:val="24"/>
                <w:szCs w:val="24"/>
              </w:rPr>
              <w:t>5.9</w:t>
            </w:r>
          </w:p>
        </w:tc>
      </w:tr>
      <w:tr w:rsidR="005C4FD7" w:rsidRPr="005C4FD7" w:rsidTr="005C4FD7">
        <w:trPr>
          <w:trHeight w:val="300"/>
        </w:trPr>
        <w:tc>
          <w:tcPr>
            <w:tcW w:w="0" w:type="auto"/>
            <w:tcBorders>
              <w:top w:val="nil"/>
              <w:left w:val="single" w:sz="4" w:space="0" w:color="auto"/>
              <w:bottom w:val="nil"/>
              <w:right w:val="nil"/>
            </w:tcBorders>
            <w:shd w:val="clear" w:color="auto" w:fill="auto"/>
            <w:noWrap/>
            <w:vAlign w:val="bottom"/>
            <w:hideMark/>
          </w:tcPr>
          <w:p w:rsidR="005C4FD7" w:rsidRPr="00611FD9" w:rsidRDefault="005C4FD7" w:rsidP="0050138B">
            <w:pPr>
              <w:spacing w:after="0" w:line="240" w:lineRule="auto"/>
              <w:rPr>
                <w:rFonts w:ascii="Times New Roman" w:eastAsia="Times New Roman" w:hAnsi="Times New Roman" w:cs="Times New Roman"/>
                <w:bCs/>
                <w:color w:val="000000" w:themeColor="text1"/>
                <w:szCs w:val="24"/>
              </w:rPr>
            </w:pPr>
          </w:p>
          <w:p w:rsidR="005C4FD7" w:rsidRPr="00611FD9" w:rsidRDefault="005C4FD7" w:rsidP="0050138B">
            <w:pPr>
              <w:spacing w:after="0" w:line="240" w:lineRule="auto"/>
              <w:rPr>
                <w:rFonts w:ascii="Times New Roman" w:eastAsia="Times New Roman" w:hAnsi="Times New Roman" w:cs="Times New Roman"/>
                <w:bCs/>
                <w:color w:val="000000" w:themeColor="text1"/>
                <w:szCs w:val="24"/>
              </w:rPr>
            </w:pPr>
            <w:r w:rsidRPr="00611FD9">
              <w:rPr>
                <w:rFonts w:ascii="Times New Roman" w:eastAsia="Times New Roman" w:hAnsi="Times New Roman" w:cs="Times New Roman"/>
                <w:bCs/>
                <w:color w:val="000000" w:themeColor="text1"/>
                <w:szCs w:val="24"/>
              </w:rPr>
              <w:t>March 2013</w:t>
            </w:r>
          </w:p>
        </w:tc>
        <w:tc>
          <w:tcPr>
            <w:tcW w:w="0" w:type="auto"/>
            <w:tcBorders>
              <w:top w:val="nil"/>
              <w:left w:val="single" w:sz="4" w:space="0" w:color="auto"/>
              <w:bottom w:val="nil"/>
              <w:right w:val="single" w:sz="4" w:space="0" w:color="auto"/>
            </w:tcBorders>
            <w:shd w:val="clear" w:color="auto" w:fill="auto"/>
            <w:noWrap/>
            <w:vAlign w:val="bottom"/>
            <w:hideMark/>
          </w:tcPr>
          <w:p w:rsidR="005C4FD7" w:rsidRPr="00611FD9" w:rsidRDefault="005C4FD7" w:rsidP="0050138B">
            <w:pPr>
              <w:spacing w:after="0" w:line="240" w:lineRule="auto"/>
              <w:jc w:val="center"/>
              <w:rPr>
                <w:rFonts w:ascii="Times New Roman" w:eastAsia="Times New Roman" w:hAnsi="Times New Roman" w:cs="Times New Roman"/>
                <w:color w:val="000000" w:themeColor="text1"/>
                <w:szCs w:val="24"/>
              </w:rPr>
            </w:pPr>
            <w:r w:rsidRPr="00611FD9">
              <w:rPr>
                <w:rFonts w:ascii="Times New Roman" w:eastAsia="Times New Roman" w:hAnsi="Times New Roman" w:cs="Times New Roman"/>
                <w:color w:val="000000" w:themeColor="text1"/>
                <w:szCs w:val="24"/>
              </w:rPr>
              <w:t>12.9</w:t>
            </w:r>
          </w:p>
        </w:tc>
        <w:tc>
          <w:tcPr>
            <w:tcW w:w="0" w:type="auto"/>
            <w:tcBorders>
              <w:top w:val="nil"/>
              <w:left w:val="nil"/>
              <w:bottom w:val="nil"/>
              <w:right w:val="single" w:sz="4" w:space="0" w:color="auto"/>
            </w:tcBorders>
            <w:shd w:val="clear" w:color="auto" w:fill="auto"/>
            <w:noWrap/>
            <w:vAlign w:val="bottom"/>
            <w:hideMark/>
          </w:tcPr>
          <w:p w:rsidR="005C4FD7" w:rsidRPr="005C4FD7" w:rsidRDefault="005C4FD7" w:rsidP="0050138B">
            <w:pPr>
              <w:spacing w:after="0" w:line="240" w:lineRule="auto"/>
              <w:jc w:val="center"/>
              <w:rPr>
                <w:rFonts w:ascii="Times New Roman" w:eastAsia="Times New Roman" w:hAnsi="Times New Roman" w:cs="Times New Roman"/>
                <w:color w:val="000000" w:themeColor="text1"/>
                <w:sz w:val="24"/>
                <w:szCs w:val="24"/>
              </w:rPr>
            </w:pPr>
            <w:r w:rsidRPr="005C4FD7">
              <w:rPr>
                <w:rFonts w:ascii="Times New Roman" w:eastAsia="Times New Roman" w:hAnsi="Times New Roman" w:cs="Times New Roman"/>
                <w:color w:val="000000" w:themeColor="text1"/>
                <w:sz w:val="24"/>
                <w:szCs w:val="24"/>
              </w:rPr>
              <w:t>6.9</w:t>
            </w:r>
          </w:p>
        </w:tc>
      </w:tr>
      <w:tr w:rsidR="005C4FD7" w:rsidRPr="005C4FD7" w:rsidTr="005C4FD7">
        <w:trPr>
          <w:trHeight w:val="300"/>
        </w:trPr>
        <w:tc>
          <w:tcPr>
            <w:tcW w:w="0" w:type="auto"/>
            <w:tcBorders>
              <w:top w:val="nil"/>
              <w:left w:val="single" w:sz="4" w:space="0" w:color="auto"/>
              <w:right w:val="nil"/>
            </w:tcBorders>
            <w:shd w:val="clear" w:color="auto" w:fill="auto"/>
            <w:noWrap/>
            <w:vAlign w:val="bottom"/>
            <w:hideMark/>
          </w:tcPr>
          <w:p w:rsidR="005C4FD7" w:rsidRPr="00611FD9" w:rsidRDefault="005C4FD7" w:rsidP="0050138B">
            <w:pPr>
              <w:spacing w:after="0" w:line="240" w:lineRule="auto"/>
              <w:rPr>
                <w:rFonts w:ascii="Times New Roman" w:eastAsia="Times New Roman" w:hAnsi="Times New Roman" w:cs="Times New Roman"/>
                <w:bCs/>
                <w:color w:val="000000" w:themeColor="text1"/>
                <w:szCs w:val="24"/>
              </w:rPr>
            </w:pPr>
          </w:p>
          <w:p w:rsidR="005C4FD7" w:rsidRPr="00611FD9" w:rsidRDefault="005C4FD7" w:rsidP="0050138B">
            <w:pPr>
              <w:spacing w:after="0" w:line="240" w:lineRule="auto"/>
              <w:rPr>
                <w:rFonts w:ascii="Times New Roman" w:eastAsia="Times New Roman" w:hAnsi="Times New Roman" w:cs="Times New Roman"/>
                <w:bCs/>
                <w:color w:val="000000" w:themeColor="text1"/>
                <w:szCs w:val="24"/>
              </w:rPr>
            </w:pPr>
            <w:r w:rsidRPr="00611FD9">
              <w:rPr>
                <w:rFonts w:ascii="Times New Roman" w:eastAsia="Times New Roman" w:hAnsi="Times New Roman" w:cs="Times New Roman"/>
                <w:bCs/>
                <w:color w:val="000000" w:themeColor="text1"/>
                <w:szCs w:val="24"/>
              </w:rPr>
              <w:t>April 2013</w:t>
            </w:r>
          </w:p>
        </w:tc>
        <w:tc>
          <w:tcPr>
            <w:tcW w:w="0" w:type="auto"/>
            <w:tcBorders>
              <w:top w:val="nil"/>
              <w:left w:val="single" w:sz="4" w:space="0" w:color="auto"/>
              <w:right w:val="single" w:sz="4" w:space="0" w:color="auto"/>
            </w:tcBorders>
            <w:shd w:val="clear" w:color="auto" w:fill="auto"/>
            <w:noWrap/>
            <w:vAlign w:val="bottom"/>
            <w:hideMark/>
          </w:tcPr>
          <w:p w:rsidR="005C4FD7" w:rsidRPr="00611FD9" w:rsidRDefault="005C4FD7" w:rsidP="0050138B">
            <w:pPr>
              <w:spacing w:after="0" w:line="240" w:lineRule="auto"/>
              <w:jc w:val="center"/>
              <w:rPr>
                <w:rFonts w:ascii="Times New Roman" w:eastAsia="Times New Roman" w:hAnsi="Times New Roman" w:cs="Times New Roman"/>
                <w:color w:val="000000" w:themeColor="text1"/>
                <w:szCs w:val="24"/>
              </w:rPr>
            </w:pPr>
            <w:r w:rsidRPr="00611FD9">
              <w:rPr>
                <w:rFonts w:ascii="Times New Roman" w:eastAsia="Times New Roman" w:hAnsi="Times New Roman" w:cs="Times New Roman"/>
                <w:color w:val="000000" w:themeColor="text1"/>
                <w:szCs w:val="24"/>
              </w:rPr>
              <w:t>9.4</w:t>
            </w:r>
          </w:p>
        </w:tc>
        <w:tc>
          <w:tcPr>
            <w:tcW w:w="0" w:type="auto"/>
            <w:tcBorders>
              <w:top w:val="nil"/>
              <w:left w:val="nil"/>
              <w:right w:val="single" w:sz="4" w:space="0" w:color="auto"/>
            </w:tcBorders>
            <w:shd w:val="clear" w:color="auto" w:fill="auto"/>
            <w:noWrap/>
            <w:vAlign w:val="bottom"/>
            <w:hideMark/>
          </w:tcPr>
          <w:p w:rsidR="005C4FD7" w:rsidRPr="005C4FD7" w:rsidRDefault="005C4FD7" w:rsidP="0050138B">
            <w:pPr>
              <w:spacing w:after="0" w:line="240" w:lineRule="auto"/>
              <w:jc w:val="center"/>
              <w:rPr>
                <w:rFonts w:ascii="Times New Roman" w:eastAsia="Times New Roman" w:hAnsi="Times New Roman" w:cs="Times New Roman"/>
                <w:color w:val="000000" w:themeColor="text1"/>
                <w:sz w:val="24"/>
                <w:szCs w:val="24"/>
              </w:rPr>
            </w:pPr>
            <w:r w:rsidRPr="005C4FD7">
              <w:rPr>
                <w:rFonts w:ascii="Times New Roman" w:eastAsia="Times New Roman" w:hAnsi="Times New Roman" w:cs="Times New Roman"/>
                <w:color w:val="000000" w:themeColor="text1"/>
                <w:sz w:val="24"/>
                <w:szCs w:val="24"/>
              </w:rPr>
              <w:t>5.5</w:t>
            </w:r>
          </w:p>
        </w:tc>
      </w:tr>
      <w:tr w:rsidR="005C4FD7" w:rsidRPr="005C4FD7" w:rsidTr="005C4FD7">
        <w:trPr>
          <w:trHeight w:val="300"/>
        </w:trPr>
        <w:tc>
          <w:tcPr>
            <w:tcW w:w="0" w:type="auto"/>
            <w:tcBorders>
              <w:top w:val="nil"/>
              <w:left w:val="single" w:sz="4" w:space="0" w:color="auto"/>
              <w:bottom w:val="nil"/>
              <w:right w:val="nil"/>
            </w:tcBorders>
            <w:shd w:val="clear" w:color="auto" w:fill="auto"/>
            <w:noWrap/>
            <w:vAlign w:val="bottom"/>
            <w:hideMark/>
          </w:tcPr>
          <w:p w:rsidR="005C4FD7" w:rsidRPr="00611FD9" w:rsidRDefault="005C4FD7" w:rsidP="0050138B">
            <w:pPr>
              <w:spacing w:after="0" w:line="240" w:lineRule="auto"/>
              <w:rPr>
                <w:rFonts w:ascii="Times New Roman" w:eastAsia="Times New Roman" w:hAnsi="Times New Roman" w:cs="Times New Roman"/>
                <w:bCs/>
                <w:color w:val="000000" w:themeColor="text1"/>
                <w:szCs w:val="24"/>
              </w:rPr>
            </w:pPr>
          </w:p>
          <w:p w:rsidR="005C4FD7" w:rsidRPr="00611FD9" w:rsidRDefault="005C4FD7" w:rsidP="0050138B">
            <w:pPr>
              <w:spacing w:after="0" w:line="240" w:lineRule="auto"/>
              <w:rPr>
                <w:rFonts w:ascii="Times New Roman" w:eastAsia="Times New Roman" w:hAnsi="Times New Roman" w:cs="Times New Roman"/>
                <w:bCs/>
                <w:color w:val="000000" w:themeColor="text1"/>
                <w:szCs w:val="24"/>
              </w:rPr>
            </w:pPr>
            <w:r w:rsidRPr="00611FD9">
              <w:rPr>
                <w:rFonts w:ascii="Times New Roman" w:eastAsia="Times New Roman" w:hAnsi="Times New Roman" w:cs="Times New Roman"/>
                <w:bCs/>
                <w:color w:val="000000" w:themeColor="text1"/>
                <w:szCs w:val="24"/>
              </w:rPr>
              <w:t>May 2013</w:t>
            </w:r>
          </w:p>
        </w:tc>
        <w:tc>
          <w:tcPr>
            <w:tcW w:w="0" w:type="auto"/>
            <w:tcBorders>
              <w:top w:val="nil"/>
              <w:left w:val="single" w:sz="4" w:space="0" w:color="auto"/>
              <w:bottom w:val="nil"/>
              <w:right w:val="single" w:sz="4" w:space="0" w:color="auto"/>
            </w:tcBorders>
            <w:shd w:val="clear" w:color="auto" w:fill="auto"/>
            <w:noWrap/>
            <w:vAlign w:val="bottom"/>
            <w:hideMark/>
          </w:tcPr>
          <w:p w:rsidR="005C4FD7" w:rsidRPr="00611FD9" w:rsidRDefault="005C4FD7" w:rsidP="0050138B">
            <w:pPr>
              <w:spacing w:after="0" w:line="240" w:lineRule="auto"/>
              <w:jc w:val="center"/>
              <w:rPr>
                <w:rFonts w:ascii="Times New Roman" w:eastAsia="Times New Roman" w:hAnsi="Times New Roman" w:cs="Times New Roman"/>
                <w:color w:val="000000" w:themeColor="text1"/>
                <w:szCs w:val="24"/>
              </w:rPr>
            </w:pPr>
            <w:r w:rsidRPr="00611FD9">
              <w:rPr>
                <w:rFonts w:ascii="Times New Roman" w:eastAsia="Times New Roman" w:hAnsi="Times New Roman" w:cs="Times New Roman"/>
                <w:color w:val="000000" w:themeColor="text1"/>
                <w:szCs w:val="24"/>
              </w:rPr>
              <w:t>9.6</w:t>
            </w:r>
          </w:p>
        </w:tc>
        <w:tc>
          <w:tcPr>
            <w:tcW w:w="0" w:type="auto"/>
            <w:tcBorders>
              <w:top w:val="nil"/>
              <w:left w:val="nil"/>
              <w:bottom w:val="nil"/>
              <w:right w:val="single" w:sz="4" w:space="0" w:color="auto"/>
            </w:tcBorders>
            <w:shd w:val="clear" w:color="auto" w:fill="auto"/>
            <w:noWrap/>
            <w:vAlign w:val="bottom"/>
            <w:hideMark/>
          </w:tcPr>
          <w:p w:rsidR="005C4FD7" w:rsidRPr="005C4FD7" w:rsidRDefault="005C4FD7" w:rsidP="0050138B">
            <w:pPr>
              <w:spacing w:after="0" w:line="240" w:lineRule="auto"/>
              <w:jc w:val="center"/>
              <w:rPr>
                <w:rFonts w:ascii="Times New Roman" w:eastAsia="Times New Roman" w:hAnsi="Times New Roman" w:cs="Times New Roman"/>
                <w:color w:val="000000" w:themeColor="text1"/>
                <w:sz w:val="24"/>
                <w:szCs w:val="24"/>
              </w:rPr>
            </w:pPr>
            <w:r w:rsidRPr="005C4FD7">
              <w:rPr>
                <w:rFonts w:ascii="Times New Roman" w:eastAsia="Times New Roman" w:hAnsi="Times New Roman" w:cs="Times New Roman"/>
                <w:color w:val="000000" w:themeColor="text1"/>
                <w:sz w:val="24"/>
                <w:szCs w:val="24"/>
              </w:rPr>
              <w:t>5.6</w:t>
            </w:r>
          </w:p>
        </w:tc>
      </w:tr>
      <w:tr w:rsidR="005C4FD7" w:rsidRPr="005C4FD7" w:rsidTr="005C4FD7">
        <w:trPr>
          <w:trHeight w:val="300"/>
        </w:trPr>
        <w:tc>
          <w:tcPr>
            <w:tcW w:w="0" w:type="auto"/>
            <w:tcBorders>
              <w:top w:val="nil"/>
              <w:left w:val="single" w:sz="4" w:space="0" w:color="auto"/>
              <w:bottom w:val="nil"/>
              <w:right w:val="nil"/>
            </w:tcBorders>
            <w:shd w:val="clear" w:color="auto" w:fill="auto"/>
            <w:noWrap/>
            <w:vAlign w:val="bottom"/>
          </w:tcPr>
          <w:p w:rsidR="005C4FD7" w:rsidRPr="00611FD9" w:rsidRDefault="005C4FD7" w:rsidP="0050138B">
            <w:pPr>
              <w:spacing w:after="0" w:line="240" w:lineRule="auto"/>
              <w:rPr>
                <w:rFonts w:ascii="Times New Roman" w:eastAsia="Times New Roman" w:hAnsi="Times New Roman" w:cs="Times New Roman"/>
                <w:bCs/>
                <w:color w:val="000000" w:themeColor="text1"/>
                <w:szCs w:val="24"/>
              </w:rPr>
            </w:pPr>
          </w:p>
          <w:p w:rsidR="005C4FD7" w:rsidRPr="00611FD9" w:rsidRDefault="005C4FD7" w:rsidP="0050138B">
            <w:pPr>
              <w:spacing w:after="0" w:line="240" w:lineRule="auto"/>
              <w:rPr>
                <w:rFonts w:ascii="Times New Roman" w:eastAsia="Times New Roman" w:hAnsi="Times New Roman" w:cs="Times New Roman"/>
                <w:bCs/>
                <w:color w:val="000000" w:themeColor="text1"/>
                <w:szCs w:val="24"/>
              </w:rPr>
            </w:pPr>
            <w:r w:rsidRPr="00611FD9">
              <w:rPr>
                <w:rFonts w:ascii="Times New Roman" w:eastAsia="Times New Roman" w:hAnsi="Times New Roman" w:cs="Times New Roman"/>
                <w:bCs/>
                <w:color w:val="000000" w:themeColor="text1"/>
                <w:szCs w:val="24"/>
              </w:rPr>
              <w:t>June 2013</w:t>
            </w:r>
          </w:p>
        </w:tc>
        <w:tc>
          <w:tcPr>
            <w:tcW w:w="0" w:type="auto"/>
            <w:tcBorders>
              <w:top w:val="nil"/>
              <w:left w:val="single" w:sz="4" w:space="0" w:color="auto"/>
              <w:bottom w:val="nil"/>
              <w:right w:val="single" w:sz="4" w:space="0" w:color="auto"/>
            </w:tcBorders>
            <w:shd w:val="clear" w:color="auto" w:fill="auto"/>
            <w:noWrap/>
            <w:vAlign w:val="bottom"/>
          </w:tcPr>
          <w:p w:rsidR="005C4FD7" w:rsidRPr="00611FD9" w:rsidRDefault="005C4FD7" w:rsidP="0050138B">
            <w:pPr>
              <w:spacing w:after="0" w:line="240" w:lineRule="auto"/>
              <w:jc w:val="center"/>
              <w:rPr>
                <w:rFonts w:ascii="Times New Roman" w:eastAsia="Times New Roman" w:hAnsi="Times New Roman" w:cs="Times New Roman"/>
                <w:color w:val="000000" w:themeColor="text1"/>
                <w:szCs w:val="24"/>
              </w:rPr>
            </w:pPr>
            <w:r w:rsidRPr="00611FD9">
              <w:rPr>
                <w:rFonts w:ascii="Times New Roman" w:eastAsia="Times New Roman" w:hAnsi="Times New Roman" w:cs="Times New Roman"/>
                <w:color w:val="000000" w:themeColor="text1"/>
                <w:szCs w:val="24"/>
              </w:rPr>
              <w:t>12.6</w:t>
            </w:r>
          </w:p>
        </w:tc>
        <w:tc>
          <w:tcPr>
            <w:tcW w:w="0" w:type="auto"/>
            <w:tcBorders>
              <w:top w:val="nil"/>
              <w:left w:val="nil"/>
              <w:bottom w:val="nil"/>
              <w:right w:val="single" w:sz="4" w:space="0" w:color="auto"/>
            </w:tcBorders>
            <w:shd w:val="clear" w:color="auto" w:fill="auto"/>
            <w:noWrap/>
            <w:vAlign w:val="bottom"/>
          </w:tcPr>
          <w:p w:rsidR="005C4FD7" w:rsidRPr="005C4FD7" w:rsidRDefault="005C4FD7" w:rsidP="0050138B">
            <w:pPr>
              <w:spacing w:after="0" w:line="240" w:lineRule="auto"/>
              <w:jc w:val="center"/>
              <w:rPr>
                <w:rFonts w:ascii="Times New Roman" w:eastAsia="Times New Roman" w:hAnsi="Times New Roman" w:cs="Times New Roman"/>
                <w:color w:val="000000" w:themeColor="text1"/>
                <w:sz w:val="24"/>
                <w:szCs w:val="24"/>
              </w:rPr>
            </w:pPr>
          </w:p>
        </w:tc>
      </w:tr>
      <w:tr w:rsidR="005C4FD7" w:rsidRPr="005C4FD7" w:rsidTr="005C4FD7">
        <w:trPr>
          <w:trHeight w:val="300"/>
        </w:trPr>
        <w:tc>
          <w:tcPr>
            <w:tcW w:w="0" w:type="auto"/>
            <w:tcBorders>
              <w:top w:val="nil"/>
              <w:left w:val="single" w:sz="4" w:space="0" w:color="auto"/>
              <w:bottom w:val="nil"/>
              <w:right w:val="nil"/>
            </w:tcBorders>
            <w:shd w:val="clear" w:color="auto" w:fill="auto"/>
            <w:noWrap/>
            <w:vAlign w:val="bottom"/>
          </w:tcPr>
          <w:p w:rsidR="005C4FD7" w:rsidRPr="00611FD9" w:rsidRDefault="005C4FD7" w:rsidP="0050138B">
            <w:pPr>
              <w:spacing w:after="0" w:line="240" w:lineRule="auto"/>
              <w:rPr>
                <w:rFonts w:ascii="Times New Roman" w:eastAsia="Times New Roman" w:hAnsi="Times New Roman" w:cs="Times New Roman"/>
                <w:bCs/>
                <w:color w:val="000000" w:themeColor="text1"/>
                <w:szCs w:val="24"/>
              </w:rPr>
            </w:pPr>
          </w:p>
          <w:p w:rsidR="005C4FD7" w:rsidRPr="00611FD9" w:rsidRDefault="005C4FD7" w:rsidP="0050138B">
            <w:pPr>
              <w:spacing w:after="0" w:line="240" w:lineRule="auto"/>
              <w:rPr>
                <w:rFonts w:ascii="Times New Roman" w:eastAsia="Times New Roman" w:hAnsi="Times New Roman" w:cs="Times New Roman"/>
                <w:bCs/>
                <w:color w:val="000000" w:themeColor="text1"/>
                <w:szCs w:val="24"/>
              </w:rPr>
            </w:pPr>
            <w:r w:rsidRPr="00611FD9">
              <w:rPr>
                <w:rFonts w:ascii="Times New Roman" w:eastAsia="Times New Roman" w:hAnsi="Times New Roman" w:cs="Times New Roman"/>
                <w:bCs/>
                <w:color w:val="000000" w:themeColor="text1"/>
                <w:szCs w:val="24"/>
              </w:rPr>
              <w:t>July 2013</w:t>
            </w:r>
          </w:p>
        </w:tc>
        <w:tc>
          <w:tcPr>
            <w:tcW w:w="0" w:type="auto"/>
            <w:tcBorders>
              <w:top w:val="nil"/>
              <w:left w:val="single" w:sz="4" w:space="0" w:color="auto"/>
              <w:bottom w:val="nil"/>
              <w:right w:val="single" w:sz="4" w:space="0" w:color="auto"/>
            </w:tcBorders>
            <w:shd w:val="clear" w:color="auto" w:fill="auto"/>
            <w:noWrap/>
            <w:vAlign w:val="bottom"/>
          </w:tcPr>
          <w:p w:rsidR="005C4FD7" w:rsidRPr="00611FD9" w:rsidRDefault="005C4FD7" w:rsidP="0050138B">
            <w:pPr>
              <w:spacing w:after="0" w:line="240" w:lineRule="auto"/>
              <w:jc w:val="center"/>
              <w:rPr>
                <w:rFonts w:ascii="Times New Roman" w:eastAsia="Times New Roman" w:hAnsi="Times New Roman" w:cs="Times New Roman"/>
                <w:color w:val="000000" w:themeColor="text1"/>
                <w:szCs w:val="24"/>
              </w:rPr>
            </w:pPr>
            <w:r w:rsidRPr="00611FD9">
              <w:rPr>
                <w:rFonts w:ascii="Times New Roman" w:eastAsia="Times New Roman" w:hAnsi="Times New Roman" w:cs="Times New Roman"/>
                <w:color w:val="000000" w:themeColor="text1"/>
                <w:szCs w:val="24"/>
              </w:rPr>
              <w:t>4.8</w:t>
            </w:r>
          </w:p>
        </w:tc>
        <w:tc>
          <w:tcPr>
            <w:tcW w:w="0" w:type="auto"/>
            <w:tcBorders>
              <w:top w:val="nil"/>
              <w:left w:val="nil"/>
              <w:bottom w:val="nil"/>
              <w:right w:val="single" w:sz="4" w:space="0" w:color="auto"/>
            </w:tcBorders>
            <w:shd w:val="clear" w:color="auto" w:fill="auto"/>
            <w:noWrap/>
            <w:vAlign w:val="bottom"/>
          </w:tcPr>
          <w:p w:rsidR="005C4FD7" w:rsidRPr="005C4FD7" w:rsidRDefault="005C4FD7" w:rsidP="0050138B">
            <w:pPr>
              <w:spacing w:after="0" w:line="240" w:lineRule="auto"/>
              <w:jc w:val="center"/>
              <w:rPr>
                <w:rFonts w:ascii="Times New Roman" w:eastAsia="Times New Roman" w:hAnsi="Times New Roman" w:cs="Times New Roman"/>
                <w:color w:val="000000" w:themeColor="text1"/>
                <w:sz w:val="24"/>
                <w:szCs w:val="24"/>
              </w:rPr>
            </w:pPr>
          </w:p>
        </w:tc>
      </w:tr>
      <w:tr w:rsidR="005C4FD7" w:rsidRPr="005C4FD7" w:rsidTr="005C4FD7">
        <w:trPr>
          <w:trHeight w:val="300"/>
        </w:trPr>
        <w:tc>
          <w:tcPr>
            <w:tcW w:w="0" w:type="auto"/>
            <w:tcBorders>
              <w:top w:val="nil"/>
              <w:left w:val="single" w:sz="4" w:space="0" w:color="auto"/>
              <w:bottom w:val="nil"/>
              <w:right w:val="nil"/>
            </w:tcBorders>
            <w:shd w:val="clear" w:color="auto" w:fill="auto"/>
            <w:noWrap/>
            <w:vAlign w:val="bottom"/>
          </w:tcPr>
          <w:p w:rsidR="005C4FD7" w:rsidRPr="00611FD9" w:rsidRDefault="005C4FD7" w:rsidP="0050138B">
            <w:pPr>
              <w:spacing w:after="0" w:line="240" w:lineRule="auto"/>
              <w:rPr>
                <w:rFonts w:ascii="Times New Roman" w:eastAsia="Times New Roman" w:hAnsi="Times New Roman" w:cs="Times New Roman"/>
                <w:bCs/>
                <w:color w:val="000000" w:themeColor="text1"/>
                <w:szCs w:val="24"/>
              </w:rPr>
            </w:pPr>
          </w:p>
          <w:p w:rsidR="005C4FD7" w:rsidRPr="00611FD9" w:rsidRDefault="005C4FD7" w:rsidP="0050138B">
            <w:pPr>
              <w:spacing w:after="0" w:line="240" w:lineRule="auto"/>
              <w:rPr>
                <w:rFonts w:ascii="Times New Roman" w:eastAsia="Times New Roman" w:hAnsi="Times New Roman" w:cs="Times New Roman"/>
                <w:bCs/>
                <w:color w:val="000000" w:themeColor="text1"/>
                <w:szCs w:val="24"/>
              </w:rPr>
            </w:pPr>
            <w:r w:rsidRPr="00611FD9">
              <w:rPr>
                <w:rFonts w:ascii="Times New Roman" w:eastAsia="Times New Roman" w:hAnsi="Times New Roman" w:cs="Times New Roman"/>
                <w:bCs/>
                <w:color w:val="000000" w:themeColor="text1"/>
                <w:szCs w:val="24"/>
              </w:rPr>
              <w:t>August 2013</w:t>
            </w:r>
          </w:p>
        </w:tc>
        <w:tc>
          <w:tcPr>
            <w:tcW w:w="0" w:type="auto"/>
            <w:tcBorders>
              <w:top w:val="nil"/>
              <w:left w:val="single" w:sz="4" w:space="0" w:color="auto"/>
              <w:bottom w:val="nil"/>
              <w:right w:val="single" w:sz="4" w:space="0" w:color="auto"/>
            </w:tcBorders>
            <w:shd w:val="clear" w:color="auto" w:fill="auto"/>
            <w:noWrap/>
            <w:vAlign w:val="bottom"/>
          </w:tcPr>
          <w:p w:rsidR="005C4FD7" w:rsidRPr="00611FD9" w:rsidRDefault="005C4FD7" w:rsidP="0050138B">
            <w:pPr>
              <w:spacing w:after="0" w:line="240" w:lineRule="auto"/>
              <w:jc w:val="center"/>
              <w:rPr>
                <w:rFonts w:ascii="Times New Roman" w:eastAsia="Times New Roman" w:hAnsi="Times New Roman" w:cs="Times New Roman"/>
                <w:color w:val="000000" w:themeColor="text1"/>
                <w:szCs w:val="24"/>
              </w:rPr>
            </w:pPr>
            <w:r w:rsidRPr="00611FD9">
              <w:rPr>
                <w:rFonts w:ascii="Times New Roman" w:eastAsia="Times New Roman" w:hAnsi="Times New Roman" w:cs="Times New Roman"/>
                <w:color w:val="000000" w:themeColor="text1"/>
                <w:szCs w:val="24"/>
              </w:rPr>
              <w:t>7.7</w:t>
            </w:r>
          </w:p>
        </w:tc>
        <w:tc>
          <w:tcPr>
            <w:tcW w:w="0" w:type="auto"/>
            <w:tcBorders>
              <w:top w:val="nil"/>
              <w:left w:val="nil"/>
              <w:bottom w:val="nil"/>
              <w:right w:val="single" w:sz="4" w:space="0" w:color="auto"/>
            </w:tcBorders>
            <w:shd w:val="clear" w:color="auto" w:fill="auto"/>
            <w:noWrap/>
            <w:vAlign w:val="bottom"/>
          </w:tcPr>
          <w:p w:rsidR="005C4FD7" w:rsidRPr="005C4FD7" w:rsidRDefault="005C4FD7" w:rsidP="0050138B">
            <w:pPr>
              <w:spacing w:after="0" w:line="240" w:lineRule="auto"/>
              <w:jc w:val="center"/>
              <w:rPr>
                <w:rFonts w:ascii="Times New Roman" w:eastAsia="Times New Roman" w:hAnsi="Times New Roman" w:cs="Times New Roman"/>
                <w:color w:val="000000" w:themeColor="text1"/>
                <w:sz w:val="24"/>
                <w:szCs w:val="24"/>
              </w:rPr>
            </w:pPr>
          </w:p>
        </w:tc>
      </w:tr>
      <w:tr w:rsidR="005C4FD7" w:rsidRPr="005C4FD7" w:rsidTr="005C4FD7">
        <w:trPr>
          <w:trHeight w:val="300"/>
        </w:trPr>
        <w:tc>
          <w:tcPr>
            <w:tcW w:w="0" w:type="auto"/>
            <w:tcBorders>
              <w:top w:val="nil"/>
              <w:left w:val="single" w:sz="4" w:space="0" w:color="auto"/>
              <w:bottom w:val="nil"/>
              <w:right w:val="nil"/>
            </w:tcBorders>
            <w:shd w:val="clear" w:color="auto" w:fill="auto"/>
            <w:noWrap/>
            <w:vAlign w:val="bottom"/>
          </w:tcPr>
          <w:p w:rsidR="005C4FD7" w:rsidRPr="00611FD9" w:rsidRDefault="005C4FD7" w:rsidP="0050138B">
            <w:pPr>
              <w:spacing w:after="0" w:line="240" w:lineRule="auto"/>
              <w:rPr>
                <w:rFonts w:ascii="Times New Roman" w:eastAsia="Times New Roman" w:hAnsi="Times New Roman" w:cs="Times New Roman"/>
                <w:bCs/>
                <w:color w:val="000000" w:themeColor="text1"/>
                <w:szCs w:val="24"/>
              </w:rPr>
            </w:pPr>
          </w:p>
          <w:p w:rsidR="005C4FD7" w:rsidRPr="00611FD9" w:rsidRDefault="005C4FD7" w:rsidP="0050138B">
            <w:pPr>
              <w:spacing w:after="0" w:line="240" w:lineRule="auto"/>
              <w:rPr>
                <w:rFonts w:ascii="Times New Roman" w:eastAsia="Times New Roman" w:hAnsi="Times New Roman" w:cs="Times New Roman"/>
                <w:bCs/>
                <w:color w:val="000000" w:themeColor="text1"/>
                <w:szCs w:val="24"/>
              </w:rPr>
            </w:pPr>
            <w:r w:rsidRPr="00611FD9">
              <w:rPr>
                <w:rFonts w:ascii="Times New Roman" w:eastAsia="Times New Roman" w:hAnsi="Times New Roman" w:cs="Times New Roman"/>
                <w:bCs/>
                <w:color w:val="000000" w:themeColor="text1"/>
                <w:szCs w:val="24"/>
              </w:rPr>
              <w:t>September</w:t>
            </w:r>
          </w:p>
        </w:tc>
        <w:tc>
          <w:tcPr>
            <w:tcW w:w="0" w:type="auto"/>
            <w:tcBorders>
              <w:top w:val="nil"/>
              <w:left w:val="single" w:sz="4" w:space="0" w:color="auto"/>
              <w:bottom w:val="nil"/>
              <w:right w:val="single" w:sz="4" w:space="0" w:color="auto"/>
            </w:tcBorders>
            <w:shd w:val="clear" w:color="auto" w:fill="auto"/>
            <w:noWrap/>
            <w:vAlign w:val="bottom"/>
          </w:tcPr>
          <w:p w:rsidR="005C4FD7" w:rsidRPr="00611FD9" w:rsidRDefault="005C4FD7" w:rsidP="0050138B">
            <w:pPr>
              <w:spacing w:after="0" w:line="240" w:lineRule="auto"/>
              <w:jc w:val="center"/>
              <w:rPr>
                <w:rFonts w:ascii="Times New Roman" w:eastAsia="Times New Roman" w:hAnsi="Times New Roman" w:cs="Times New Roman"/>
                <w:color w:val="000000" w:themeColor="text1"/>
                <w:szCs w:val="24"/>
              </w:rPr>
            </w:pPr>
            <w:r w:rsidRPr="00611FD9">
              <w:rPr>
                <w:rFonts w:ascii="Times New Roman" w:eastAsia="Times New Roman" w:hAnsi="Times New Roman" w:cs="Times New Roman"/>
                <w:color w:val="000000" w:themeColor="text1"/>
                <w:szCs w:val="24"/>
              </w:rPr>
              <w:t>3</w:t>
            </w:r>
          </w:p>
        </w:tc>
        <w:tc>
          <w:tcPr>
            <w:tcW w:w="0" w:type="auto"/>
            <w:tcBorders>
              <w:top w:val="nil"/>
              <w:left w:val="nil"/>
              <w:bottom w:val="nil"/>
              <w:right w:val="single" w:sz="4" w:space="0" w:color="auto"/>
            </w:tcBorders>
            <w:shd w:val="clear" w:color="auto" w:fill="auto"/>
            <w:noWrap/>
            <w:vAlign w:val="bottom"/>
          </w:tcPr>
          <w:p w:rsidR="005C4FD7" w:rsidRPr="005C4FD7" w:rsidRDefault="005C4FD7" w:rsidP="0050138B">
            <w:pPr>
              <w:spacing w:after="0" w:line="240" w:lineRule="auto"/>
              <w:jc w:val="center"/>
              <w:rPr>
                <w:rFonts w:ascii="Times New Roman" w:eastAsia="Times New Roman" w:hAnsi="Times New Roman" w:cs="Times New Roman"/>
                <w:color w:val="000000" w:themeColor="text1"/>
                <w:sz w:val="24"/>
                <w:szCs w:val="24"/>
              </w:rPr>
            </w:pPr>
          </w:p>
        </w:tc>
      </w:tr>
      <w:tr w:rsidR="005C4FD7" w:rsidRPr="005C4FD7" w:rsidTr="005C4FD7">
        <w:trPr>
          <w:trHeight w:val="300"/>
        </w:trPr>
        <w:tc>
          <w:tcPr>
            <w:tcW w:w="0" w:type="auto"/>
            <w:tcBorders>
              <w:top w:val="nil"/>
              <w:left w:val="single" w:sz="4" w:space="0" w:color="auto"/>
              <w:bottom w:val="single" w:sz="4" w:space="0" w:color="auto"/>
              <w:right w:val="nil"/>
            </w:tcBorders>
            <w:shd w:val="clear" w:color="auto" w:fill="auto"/>
            <w:noWrap/>
            <w:vAlign w:val="bottom"/>
          </w:tcPr>
          <w:p w:rsidR="005C4FD7" w:rsidRPr="00611FD9" w:rsidRDefault="005C4FD7" w:rsidP="0050138B">
            <w:pPr>
              <w:spacing w:after="0" w:line="240" w:lineRule="auto"/>
              <w:rPr>
                <w:rFonts w:ascii="Times New Roman" w:eastAsia="Times New Roman" w:hAnsi="Times New Roman" w:cs="Times New Roman"/>
                <w:bCs/>
                <w:color w:val="000000" w:themeColor="text1"/>
                <w:szCs w:val="24"/>
              </w:rPr>
            </w:pPr>
          </w:p>
          <w:p w:rsidR="005C4FD7" w:rsidRPr="00611FD9" w:rsidRDefault="005C4FD7" w:rsidP="0050138B">
            <w:pPr>
              <w:spacing w:after="0" w:line="240" w:lineRule="auto"/>
              <w:rPr>
                <w:rFonts w:ascii="Times New Roman" w:eastAsia="Times New Roman" w:hAnsi="Times New Roman" w:cs="Times New Roman"/>
                <w:bCs/>
                <w:color w:val="000000" w:themeColor="text1"/>
                <w:szCs w:val="24"/>
              </w:rPr>
            </w:pPr>
            <w:r w:rsidRPr="00611FD9">
              <w:rPr>
                <w:rFonts w:ascii="Times New Roman" w:eastAsia="Times New Roman" w:hAnsi="Times New Roman" w:cs="Times New Roman"/>
                <w:bCs/>
                <w:color w:val="000000" w:themeColor="text1"/>
                <w:szCs w:val="24"/>
              </w:rPr>
              <w:t>October</w:t>
            </w:r>
          </w:p>
        </w:tc>
        <w:tc>
          <w:tcPr>
            <w:tcW w:w="0" w:type="auto"/>
            <w:tcBorders>
              <w:top w:val="nil"/>
              <w:left w:val="single" w:sz="4" w:space="0" w:color="auto"/>
              <w:bottom w:val="single" w:sz="4" w:space="0" w:color="auto"/>
              <w:right w:val="single" w:sz="4" w:space="0" w:color="auto"/>
            </w:tcBorders>
            <w:shd w:val="clear" w:color="auto" w:fill="auto"/>
            <w:noWrap/>
            <w:vAlign w:val="bottom"/>
          </w:tcPr>
          <w:p w:rsidR="005C4FD7" w:rsidRPr="00611FD9" w:rsidRDefault="005C4FD7" w:rsidP="0050138B">
            <w:pPr>
              <w:spacing w:after="0" w:line="240" w:lineRule="auto"/>
              <w:jc w:val="center"/>
              <w:rPr>
                <w:rFonts w:ascii="Times New Roman" w:eastAsia="Times New Roman" w:hAnsi="Times New Roman" w:cs="Times New Roman"/>
                <w:color w:val="000000" w:themeColor="text1"/>
                <w:szCs w:val="24"/>
              </w:rPr>
            </w:pPr>
          </w:p>
          <w:p w:rsidR="005C4FD7" w:rsidRPr="00611FD9" w:rsidRDefault="005C4FD7" w:rsidP="0050138B">
            <w:pPr>
              <w:spacing w:after="0" w:line="240" w:lineRule="auto"/>
              <w:jc w:val="center"/>
              <w:rPr>
                <w:rFonts w:ascii="Times New Roman" w:eastAsia="Times New Roman" w:hAnsi="Times New Roman" w:cs="Times New Roman"/>
                <w:color w:val="000000" w:themeColor="text1"/>
                <w:szCs w:val="24"/>
              </w:rPr>
            </w:pPr>
            <w:r w:rsidRPr="00611FD9">
              <w:rPr>
                <w:rFonts w:ascii="Times New Roman" w:eastAsia="Times New Roman" w:hAnsi="Times New Roman" w:cs="Times New Roman"/>
                <w:color w:val="000000" w:themeColor="text1"/>
                <w:szCs w:val="24"/>
              </w:rPr>
              <w:t>3.7</w:t>
            </w:r>
          </w:p>
        </w:tc>
        <w:tc>
          <w:tcPr>
            <w:tcW w:w="0" w:type="auto"/>
            <w:tcBorders>
              <w:top w:val="nil"/>
              <w:left w:val="nil"/>
              <w:bottom w:val="single" w:sz="4" w:space="0" w:color="auto"/>
              <w:right w:val="single" w:sz="4" w:space="0" w:color="auto"/>
            </w:tcBorders>
            <w:shd w:val="clear" w:color="auto" w:fill="auto"/>
            <w:noWrap/>
            <w:vAlign w:val="bottom"/>
          </w:tcPr>
          <w:p w:rsidR="005C4FD7" w:rsidRPr="005C4FD7" w:rsidRDefault="005C4FD7" w:rsidP="0050138B">
            <w:pPr>
              <w:spacing w:after="0" w:line="240" w:lineRule="auto"/>
              <w:jc w:val="center"/>
              <w:rPr>
                <w:rFonts w:ascii="Times New Roman" w:eastAsia="Times New Roman" w:hAnsi="Times New Roman" w:cs="Times New Roman"/>
                <w:color w:val="000000" w:themeColor="text1"/>
                <w:sz w:val="24"/>
                <w:szCs w:val="24"/>
              </w:rPr>
            </w:pPr>
          </w:p>
        </w:tc>
      </w:tr>
    </w:tbl>
    <w:p w:rsidR="005C4FD7" w:rsidRPr="005C4FD7" w:rsidRDefault="005C4FD7" w:rsidP="005C4FD7">
      <w:pPr>
        <w:spacing w:after="0" w:line="240" w:lineRule="auto"/>
        <w:ind w:left="567"/>
        <w:jc w:val="both"/>
        <w:rPr>
          <w:rFonts w:ascii="Times New Roman" w:hAnsi="Times New Roman" w:cs="Times New Roman"/>
          <w:sz w:val="24"/>
          <w:szCs w:val="24"/>
        </w:rPr>
      </w:pPr>
      <w:r w:rsidRPr="00611FD9">
        <w:rPr>
          <w:rFonts w:ascii="Times New Roman" w:hAnsi="Times New Roman" w:cs="Times New Roman"/>
          <w:sz w:val="16"/>
          <w:szCs w:val="24"/>
        </w:rPr>
        <w:t xml:space="preserve">Source </w:t>
      </w:r>
      <w:r w:rsidRPr="00611FD9">
        <w:rPr>
          <w:rFonts w:ascii="Times New Roman" w:hAnsi="Times New Roman" w:cs="Times New Roman"/>
          <w:color w:val="000000" w:themeColor="text1"/>
          <w:sz w:val="16"/>
          <w:szCs w:val="24"/>
        </w:rPr>
        <w:t xml:space="preserve">- Central Bank Economic Bulletin – July 2013 Volume XV No. 2 ISSN: 1818-0027, Table 10 Index of Retail Prices. </w:t>
      </w:r>
    </w:p>
    <w:p w:rsidR="005C4FD7" w:rsidRPr="005C4FD7" w:rsidRDefault="005C4FD7" w:rsidP="005C4FD7">
      <w:pPr>
        <w:spacing w:after="0" w:line="240" w:lineRule="auto"/>
        <w:ind w:left="567"/>
        <w:jc w:val="both"/>
        <w:rPr>
          <w:rFonts w:ascii="Times New Roman" w:hAnsi="Times New Roman" w:cs="Times New Roman"/>
          <w:sz w:val="24"/>
          <w:szCs w:val="24"/>
        </w:rPr>
      </w:pPr>
    </w:p>
    <w:p w:rsidR="00B963E0" w:rsidRDefault="00B963E0" w:rsidP="00B963E0">
      <w:pPr>
        <w:tabs>
          <w:tab w:val="left" w:pos="6780"/>
        </w:tabs>
        <w:spacing w:after="0"/>
        <w:jc w:val="both"/>
        <w:rPr>
          <w:rFonts w:ascii="Times New Roman" w:hAnsi="Times New Roman" w:cs="Times New Roman"/>
          <w:sz w:val="24"/>
          <w:szCs w:val="24"/>
        </w:rPr>
      </w:pPr>
    </w:p>
    <w:p w:rsidR="005C4FD7" w:rsidRDefault="005C4FD7" w:rsidP="00B963E0">
      <w:pPr>
        <w:tabs>
          <w:tab w:val="left" w:pos="6780"/>
        </w:tabs>
        <w:spacing w:after="0"/>
        <w:jc w:val="both"/>
        <w:rPr>
          <w:rFonts w:ascii="Times New Roman" w:hAnsi="Times New Roman" w:cs="Times New Roman"/>
          <w:sz w:val="24"/>
          <w:szCs w:val="24"/>
        </w:rPr>
      </w:pPr>
    </w:p>
    <w:p w:rsidR="00B963E0" w:rsidRDefault="00B963E0" w:rsidP="00A814F3">
      <w:pPr>
        <w:tabs>
          <w:tab w:val="left" w:pos="6780"/>
        </w:tabs>
        <w:spacing w:after="0"/>
        <w:jc w:val="both"/>
        <w:rPr>
          <w:rFonts w:ascii="Times New Roman" w:hAnsi="Times New Roman" w:cs="Times New Roman"/>
          <w:sz w:val="24"/>
          <w:szCs w:val="24"/>
        </w:rPr>
      </w:pPr>
      <w:r>
        <w:rPr>
          <w:rFonts w:ascii="Times New Roman" w:hAnsi="Times New Roman" w:cs="Times New Roman"/>
          <w:b/>
          <w:sz w:val="16"/>
          <w:szCs w:val="24"/>
        </w:rPr>
        <w:lastRenderedPageBreak/>
        <w:t xml:space="preserve">    </w:t>
      </w:r>
      <w:r w:rsidR="00A814F3" w:rsidRPr="00ED7B20">
        <w:rPr>
          <w:b/>
          <w:noProof/>
        </w:rPr>
        <w:drawing>
          <wp:inline distT="0" distB="0" distL="0" distR="0" wp14:anchorId="2542582F" wp14:editId="7D3DCA67">
            <wp:extent cx="5832389" cy="3328087"/>
            <wp:effectExtent l="0" t="0" r="0" b="571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963E0" w:rsidRDefault="00B963E0" w:rsidP="00B963E0">
      <w:pPr>
        <w:tabs>
          <w:tab w:val="left" w:pos="6780"/>
        </w:tabs>
        <w:spacing w:after="0"/>
        <w:jc w:val="both"/>
        <w:rPr>
          <w:rFonts w:ascii="Times New Roman" w:hAnsi="Times New Roman" w:cs="Times New Roman"/>
          <w:sz w:val="24"/>
          <w:szCs w:val="24"/>
        </w:rPr>
      </w:pPr>
    </w:p>
    <w:p w:rsidR="00B963E0" w:rsidRDefault="00B963E0" w:rsidP="00B963E0">
      <w:pPr>
        <w:tabs>
          <w:tab w:val="left" w:pos="6780"/>
        </w:tabs>
        <w:spacing w:after="0"/>
        <w:jc w:val="both"/>
        <w:rPr>
          <w:rFonts w:ascii="Times New Roman" w:hAnsi="Times New Roman" w:cs="Times New Roman"/>
          <w:sz w:val="24"/>
          <w:szCs w:val="24"/>
        </w:rPr>
      </w:pPr>
    </w:p>
    <w:p w:rsidR="00B963E0" w:rsidRDefault="00B963E0" w:rsidP="00B963E0">
      <w:pPr>
        <w:tabs>
          <w:tab w:val="left" w:pos="6780"/>
        </w:tabs>
        <w:spacing w:after="0"/>
        <w:jc w:val="both"/>
        <w:rPr>
          <w:rFonts w:ascii="Times New Roman" w:hAnsi="Times New Roman" w:cs="Times New Roman"/>
          <w:sz w:val="24"/>
          <w:szCs w:val="24"/>
        </w:rPr>
      </w:pPr>
      <w:proofErr w:type="spellStart"/>
      <w:r w:rsidRPr="002B2287">
        <w:rPr>
          <w:rFonts w:ascii="Times New Roman" w:hAnsi="Times New Roman" w:cs="Times New Roman"/>
          <w:b/>
          <w:i/>
          <w:sz w:val="24"/>
          <w:szCs w:val="24"/>
        </w:rPr>
        <w:t>Praedial</w:t>
      </w:r>
      <w:proofErr w:type="spellEnd"/>
      <w:r w:rsidRPr="002B2287">
        <w:rPr>
          <w:rFonts w:ascii="Times New Roman" w:hAnsi="Times New Roman" w:cs="Times New Roman"/>
          <w:b/>
          <w:i/>
          <w:sz w:val="24"/>
          <w:szCs w:val="24"/>
        </w:rPr>
        <w:t xml:space="preserve"> Larceny</w:t>
      </w:r>
    </w:p>
    <w:p w:rsidR="00B963E0" w:rsidRDefault="00B963E0" w:rsidP="00B963E0">
      <w:pPr>
        <w:tabs>
          <w:tab w:val="left" w:pos="6780"/>
        </w:tabs>
        <w:spacing w:after="0"/>
        <w:jc w:val="both"/>
        <w:rPr>
          <w:rFonts w:ascii="Times New Roman" w:hAnsi="Times New Roman" w:cs="Times New Roman"/>
          <w:sz w:val="24"/>
          <w:szCs w:val="24"/>
        </w:rPr>
      </w:pPr>
    </w:p>
    <w:p w:rsidR="00B963E0" w:rsidRPr="00AB3B51" w:rsidRDefault="00B963E0" w:rsidP="00B963E0">
      <w:pPr>
        <w:tabs>
          <w:tab w:val="left" w:pos="6780"/>
        </w:tabs>
        <w:spacing w:after="0"/>
        <w:jc w:val="both"/>
        <w:rPr>
          <w:rFonts w:ascii="Times New Roman" w:hAnsi="Times New Roman" w:cs="Times New Roman"/>
          <w:sz w:val="24"/>
          <w:szCs w:val="24"/>
          <w:u w:val="single"/>
        </w:rPr>
      </w:pPr>
      <w:r w:rsidRPr="00AB3B51">
        <w:rPr>
          <w:rFonts w:ascii="Times New Roman" w:hAnsi="Times New Roman" w:cs="Times New Roman"/>
          <w:sz w:val="20"/>
          <w:szCs w:val="24"/>
          <w:u w:val="single"/>
        </w:rPr>
        <w:t>Report December 2013</w:t>
      </w:r>
    </w:p>
    <w:tbl>
      <w:tblPr>
        <w:tblStyle w:val="TableGrid"/>
        <w:tblW w:w="9747" w:type="dxa"/>
        <w:tblLayout w:type="fixed"/>
        <w:tblLook w:val="04A0" w:firstRow="1" w:lastRow="0" w:firstColumn="1" w:lastColumn="0" w:noHBand="0" w:noVBand="1"/>
      </w:tblPr>
      <w:tblGrid>
        <w:gridCol w:w="817"/>
        <w:gridCol w:w="709"/>
        <w:gridCol w:w="850"/>
        <w:gridCol w:w="851"/>
        <w:gridCol w:w="1134"/>
        <w:gridCol w:w="850"/>
        <w:gridCol w:w="851"/>
        <w:gridCol w:w="850"/>
        <w:gridCol w:w="1134"/>
        <w:gridCol w:w="851"/>
        <w:gridCol w:w="850"/>
      </w:tblGrid>
      <w:tr w:rsidR="00B963E0" w:rsidRPr="00DE3E08" w:rsidTr="00E30A8D">
        <w:tc>
          <w:tcPr>
            <w:tcW w:w="817" w:type="dxa"/>
          </w:tcPr>
          <w:p w:rsidR="00B963E0" w:rsidRPr="00DE3E08" w:rsidRDefault="00B963E0" w:rsidP="00E30A8D">
            <w:pPr>
              <w:tabs>
                <w:tab w:val="left" w:pos="6780"/>
              </w:tabs>
              <w:jc w:val="center"/>
              <w:rPr>
                <w:rFonts w:ascii="Times New Roman" w:hAnsi="Times New Roman" w:cs="Times New Roman"/>
                <w:b/>
                <w:sz w:val="16"/>
                <w:szCs w:val="24"/>
              </w:rPr>
            </w:pPr>
            <w:r w:rsidRPr="00DE3E08">
              <w:rPr>
                <w:rFonts w:ascii="Times New Roman" w:hAnsi="Times New Roman" w:cs="Times New Roman"/>
                <w:b/>
                <w:sz w:val="16"/>
                <w:szCs w:val="24"/>
              </w:rPr>
              <w:t>No. of Patrols</w:t>
            </w:r>
          </w:p>
          <w:p w:rsidR="00B963E0" w:rsidRPr="00DE3E08" w:rsidRDefault="00B963E0" w:rsidP="00E30A8D">
            <w:pPr>
              <w:tabs>
                <w:tab w:val="left" w:pos="6780"/>
              </w:tabs>
              <w:jc w:val="center"/>
              <w:rPr>
                <w:rFonts w:ascii="Times New Roman" w:hAnsi="Times New Roman" w:cs="Times New Roman"/>
                <w:b/>
                <w:sz w:val="16"/>
                <w:szCs w:val="24"/>
              </w:rPr>
            </w:pPr>
            <w:r w:rsidRPr="00DE3E08">
              <w:rPr>
                <w:rFonts w:ascii="Times New Roman" w:hAnsi="Times New Roman" w:cs="Times New Roman"/>
                <w:b/>
                <w:sz w:val="16"/>
                <w:szCs w:val="24"/>
              </w:rPr>
              <w:t>(Mobile)</w:t>
            </w:r>
          </w:p>
        </w:tc>
        <w:tc>
          <w:tcPr>
            <w:tcW w:w="709" w:type="dxa"/>
          </w:tcPr>
          <w:p w:rsidR="00B963E0" w:rsidRPr="00DE3E08" w:rsidRDefault="00B963E0" w:rsidP="00E30A8D">
            <w:pPr>
              <w:tabs>
                <w:tab w:val="left" w:pos="6780"/>
              </w:tabs>
              <w:jc w:val="center"/>
              <w:rPr>
                <w:rFonts w:ascii="Times New Roman" w:hAnsi="Times New Roman" w:cs="Times New Roman"/>
                <w:b/>
                <w:sz w:val="16"/>
                <w:szCs w:val="24"/>
              </w:rPr>
            </w:pPr>
            <w:r w:rsidRPr="00DE3E08">
              <w:rPr>
                <w:rFonts w:ascii="Times New Roman" w:hAnsi="Times New Roman" w:cs="Times New Roman"/>
                <w:b/>
                <w:sz w:val="16"/>
                <w:szCs w:val="24"/>
              </w:rPr>
              <w:t>No. of Patrol</w:t>
            </w:r>
          </w:p>
          <w:p w:rsidR="00B963E0" w:rsidRPr="00DE3E08" w:rsidRDefault="00B963E0" w:rsidP="00E30A8D">
            <w:pPr>
              <w:tabs>
                <w:tab w:val="left" w:pos="6780"/>
              </w:tabs>
              <w:jc w:val="center"/>
              <w:rPr>
                <w:rFonts w:ascii="Times New Roman" w:hAnsi="Times New Roman" w:cs="Times New Roman"/>
                <w:b/>
                <w:sz w:val="16"/>
                <w:szCs w:val="24"/>
              </w:rPr>
            </w:pPr>
            <w:r w:rsidRPr="00DE3E08">
              <w:rPr>
                <w:rFonts w:ascii="Times New Roman" w:hAnsi="Times New Roman" w:cs="Times New Roman"/>
                <w:b/>
                <w:sz w:val="16"/>
                <w:szCs w:val="24"/>
              </w:rPr>
              <w:t>(Foot)</w:t>
            </w:r>
          </w:p>
        </w:tc>
        <w:tc>
          <w:tcPr>
            <w:tcW w:w="850" w:type="dxa"/>
          </w:tcPr>
          <w:p w:rsidR="00B963E0" w:rsidRPr="00DE3E08" w:rsidRDefault="00B963E0" w:rsidP="00E30A8D">
            <w:pPr>
              <w:tabs>
                <w:tab w:val="left" w:pos="6780"/>
              </w:tabs>
              <w:jc w:val="center"/>
              <w:rPr>
                <w:rFonts w:ascii="Times New Roman" w:hAnsi="Times New Roman" w:cs="Times New Roman"/>
                <w:b/>
                <w:sz w:val="16"/>
                <w:szCs w:val="24"/>
              </w:rPr>
            </w:pPr>
            <w:r w:rsidRPr="00DE3E08">
              <w:rPr>
                <w:rFonts w:ascii="Times New Roman" w:hAnsi="Times New Roman" w:cs="Times New Roman"/>
                <w:b/>
                <w:sz w:val="16"/>
                <w:szCs w:val="24"/>
              </w:rPr>
              <w:t>Market and Farmers Visits</w:t>
            </w:r>
          </w:p>
        </w:tc>
        <w:tc>
          <w:tcPr>
            <w:tcW w:w="851" w:type="dxa"/>
          </w:tcPr>
          <w:p w:rsidR="00B963E0" w:rsidRPr="00DE3E08" w:rsidRDefault="00B963E0" w:rsidP="00E30A8D">
            <w:pPr>
              <w:tabs>
                <w:tab w:val="left" w:pos="6780"/>
              </w:tabs>
              <w:jc w:val="center"/>
              <w:rPr>
                <w:rFonts w:ascii="Times New Roman" w:hAnsi="Times New Roman" w:cs="Times New Roman"/>
                <w:b/>
                <w:sz w:val="16"/>
                <w:szCs w:val="24"/>
              </w:rPr>
            </w:pPr>
            <w:r w:rsidRPr="00DE3E08">
              <w:rPr>
                <w:rFonts w:ascii="Times New Roman" w:hAnsi="Times New Roman" w:cs="Times New Roman"/>
                <w:b/>
                <w:sz w:val="16"/>
                <w:szCs w:val="24"/>
              </w:rPr>
              <w:t>No. of Reports Made</w:t>
            </w:r>
          </w:p>
        </w:tc>
        <w:tc>
          <w:tcPr>
            <w:tcW w:w="1134" w:type="dxa"/>
          </w:tcPr>
          <w:p w:rsidR="00B963E0" w:rsidRPr="00DE3E08" w:rsidRDefault="00B963E0" w:rsidP="00E30A8D">
            <w:pPr>
              <w:tabs>
                <w:tab w:val="left" w:pos="6780"/>
              </w:tabs>
              <w:jc w:val="center"/>
              <w:rPr>
                <w:rFonts w:ascii="Times New Roman" w:hAnsi="Times New Roman" w:cs="Times New Roman"/>
                <w:b/>
                <w:sz w:val="16"/>
                <w:szCs w:val="24"/>
              </w:rPr>
            </w:pPr>
            <w:r w:rsidRPr="00DE3E08">
              <w:rPr>
                <w:rFonts w:ascii="Times New Roman" w:hAnsi="Times New Roman" w:cs="Times New Roman"/>
                <w:b/>
                <w:sz w:val="16"/>
                <w:szCs w:val="24"/>
              </w:rPr>
              <w:t>No. of Reports Under Investigation</w:t>
            </w:r>
          </w:p>
        </w:tc>
        <w:tc>
          <w:tcPr>
            <w:tcW w:w="850" w:type="dxa"/>
          </w:tcPr>
          <w:p w:rsidR="00B963E0" w:rsidRPr="00DE3E08" w:rsidRDefault="00B963E0" w:rsidP="00E30A8D">
            <w:pPr>
              <w:tabs>
                <w:tab w:val="left" w:pos="6780"/>
              </w:tabs>
              <w:jc w:val="center"/>
              <w:rPr>
                <w:rFonts w:ascii="Times New Roman" w:hAnsi="Times New Roman" w:cs="Times New Roman"/>
                <w:b/>
                <w:sz w:val="16"/>
                <w:szCs w:val="24"/>
              </w:rPr>
            </w:pPr>
            <w:r w:rsidRPr="00DE3E08">
              <w:rPr>
                <w:rFonts w:ascii="Times New Roman" w:hAnsi="Times New Roman" w:cs="Times New Roman"/>
                <w:b/>
                <w:sz w:val="16"/>
                <w:szCs w:val="24"/>
              </w:rPr>
              <w:t>No. of Reports Solved</w:t>
            </w:r>
          </w:p>
        </w:tc>
        <w:tc>
          <w:tcPr>
            <w:tcW w:w="851" w:type="dxa"/>
          </w:tcPr>
          <w:p w:rsidR="00B963E0" w:rsidRPr="00DE3E08" w:rsidRDefault="00B963E0" w:rsidP="00E30A8D">
            <w:pPr>
              <w:tabs>
                <w:tab w:val="left" w:pos="6780"/>
              </w:tabs>
              <w:jc w:val="center"/>
              <w:rPr>
                <w:rFonts w:ascii="Times New Roman" w:hAnsi="Times New Roman" w:cs="Times New Roman"/>
                <w:b/>
                <w:sz w:val="16"/>
                <w:szCs w:val="24"/>
              </w:rPr>
            </w:pPr>
            <w:r w:rsidRPr="00DE3E08">
              <w:rPr>
                <w:rFonts w:ascii="Times New Roman" w:hAnsi="Times New Roman" w:cs="Times New Roman"/>
                <w:b/>
                <w:sz w:val="16"/>
                <w:szCs w:val="24"/>
              </w:rPr>
              <w:t>No. of Persons Arrested</w:t>
            </w:r>
          </w:p>
        </w:tc>
        <w:tc>
          <w:tcPr>
            <w:tcW w:w="850" w:type="dxa"/>
          </w:tcPr>
          <w:p w:rsidR="00B963E0" w:rsidRPr="00DE3E08" w:rsidRDefault="00B963E0" w:rsidP="00E30A8D">
            <w:pPr>
              <w:tabs>
                <w:tab w:val="left" w:pos="6780"/>
              </w:tabs>
              <w:jc w:val="center"/>
              <w:rPr>
                <w:rFonts w:ascii="Times New Roman" w:hAnsi="Times New Roman" w:cs="Times New Roman"/>
                <w:b/>
                <w:sz w:val="16"/>
                <w:szCs w:val="24"/>
              </w:rPr>
            </w:pPr>
            <w:r w:rsidRPr="00DE3E08">
              <w:rPr>
                <w:rFonts w:ascii="Times New Roman" w:hAnsi="Times New Roman" w:cs="Times New Roman"/>
                <w:b/>
                <w:sz w:val="16"/>
                <w:szCs w:val="24"/>
              </w:rPr>
              <w:t>Offence Detected</w:t>
            </w:r>
          </w:p>
        </w:tc>
        <w:tc>
          <w:tcPr>
            <w:tcW w:w="1134" w:type="dxa"/>
          </w:tcPr>
          <w:p w:rsidR="00B963E0" w:rsidRPr="00DE3E08" w:rsidRDefault="00B963E0" w:rsidP="00E30A8D">
            <w:pPr>
              <w:tabs>
                <w:tab w:val="left" w:pos="6780"/>
              </w:tabs>
              <w:jc w:val="center"/>
              <w:rPr>
                <w:rFonts w:ascii="Times New Roman" w:hAnsi="Times New Roman" w:cs="Times New Roman"/>
                <w:b/>
                <w:sz w:val="16"/>
                <w:szCs w:val="24"/>
              </w:rPr>
            </w:pPr>
            <w:r w:rsidRPr="00DE3E08">
              <w:rPr>
                <w:rFonts w:ascii="Times New Roman" w:hAnsi="Times New Roman" w:cs="Times New Roman"/>
                <w:b/>
                <w:sz w:val="16"/>
                <w:szCs w:val="24"/>
              </w:rPr>
              <w:t>Investigating Officer</w:t>
            </w:r>
          </w:p>
        </w:tc>
        <w:tc>
          <w:tcPr>
            <w:tcW w:w="851" w:type="dxa"/>
          </w:tcPr>
          <w:p w:rsidR="00B963E0" w:rsidRPr="00DE3E08" w:rsidRDefault="00B963E0" w:rsidP="00E30A8D">
            <w:pPr>
              <w:tabs>
                <w:tab w:val="left" w:pos="6780"/>
              </w:tabs>
              <w:jc w:val="center"/>
              <w:rPr>
                <w:rFonts w:ascii="Times New Roman" w:hAnsi="Times New Roman" w:cs="Times New Roman"/>
                <w:b/>
                <w:sz w:val="16"/>
                <w:szCs w:val="24"/>
              </w:rPr>
            </w:pPr>
            <w:r w:rsidRPr="00DE3E08">
              <w:rPr>
                <w:rFonts w:ascii="Times New Roman" w:hAnsi="Times New Roman" w:cs="Times New Roman"/>
                <w:b/>
                <w:sz w:val="16"/>
                <w:szCs w:val="24"/>
              </w:rPr>
              <w:t>Results</w:t>
            </w:r>
          </w:p>
        </w:tc>
        <w:tc>
          <w:tcPr>
            <w:tcW w:w="850" w:type="dxa"/>
          </w:tcPr>
          <w:p w:rsidR="00B963E0" w:rsidRPr="00DE3E08" w:rsidRDefault="00B963E0" w:rsidP="00E30A8D">
            <w:pPr>
              <w:tabs>
                <w:tab w:val="left" w:pos="6780"/>
              </w:tabs>
              <w:jc w:val="center"/>
              <w:rPr>
                <w:rFonts w:ascii="Times New Roman" w:hAnsi="Times New Roman" w:cs="Times New Roman"/>
                <w:b/>
                <w:sz w:val="16"/>
                <w:szCs w:val="24"/>
              </w:rPr>
            </w:pPr>
            <w:r w:rsidRPr="00DE3E08">
              <w:rPr>
                <w:rFonts w:ascii="Times New Roman" w:hAnsi="Times New Roman" w:cs="Times New Roman"/>
                <w:b/>
                <w:sz w:val="16"/>
                <w:szCs w:val="24"/>
              </w:rPr>
              <w:t xml:space="preserve">Remarks </w:t>
            </w:r>
          </w:p>
        </w:tc>
      </w:tr>
      <w:tr w:rsidR="00B963E0" w:rsidTr="00E30A8D">
        <w:trPr>
          <w:trHeight w:val="442"/>
        </w:trPr>
        <w:tc>
          <w:tcPr>
            <w:tcW w:w="817" w:type="dxa"/>
            <w:vAlign w:val="center"/>
          </w:tcPr>
          <w:p w:rsidR="00B963E0" w:rsidRPr="00DE3E08" w:rsidRDefault="00B963E0" w:rsidP="00E30A8D">
            <w:pPr>
              <w:tabs>
                <w:tab w:val="left" w:pos="6780"/>
              </w:tabs>
              <w:jc w:val="center"/>
              <w:rPr>
                <w:rFonts w:ascii="Times New Roman" w:hAnsi="Times New Roman" w:cs="Times New Roman"/>
                <w:sz w:val="16"/>
                <w:szCs w:val="24"/>
              </w:rPr>
            </w:pPr>
            <w:r>
              <w:rPr>
                <w:rFonts w:ascii="Times New Roman" w:hAnsi="Times New Roman" w:cs="Times New Roman"/>
                <w:sz w:val="16"/>
                <w:szCs w:val="24"/>
              </w:rPr>
              <w:t>348</w:t>
            </w:r>
          </w:p>
        </w:tc>
        <w:tc>
          <w:tcPr>
            <w:tcW w:w="709" w:type="dxa"/>
            <w:vAlign w:val="center"/>
          </w:tcPr>
          <w:p w:rsidR="00B963E0" w:rsidRPr="00DE3E08" w:rsidRDefault="00B963E0" w:rsidP="00E30A8D">
            <w:pPr>
              <w:tabs>
                <w:tab w:val="left" w:pos="6780"/>
              </w:tabs>
              <w:jc w:val="center"/>
              <w:rPr>
                <w:rFonts w:ascii="Times New Roman" w:hAnsi="Times New Roman" w:cs="Times New Roman"/>
                <w:sz w:val="16"/>
                <w:szCs w:val="24"/>
              </w:rPr>
            </w:pPr>
            <w:r>
              <w:rPr>
                <w:rFonts w:ascii="Times New Roman" w:hAnsi="Times New Roman" w:cs="Times New Roman"/>
                <w:sz w:val="16"/>
                <w:szCs w:val="24"/>
              </w:rPr>
              <w:t>12</w:t>
            </w:r>
          </w:p>
        </w:tc>
        <w:tc>
          <w:tcPr>
            <w:tcW w:w="850" w:type="dxa"/>
            <w:vAlign w:val="center"/>
          </w:tcPr>
          <w:p w:rsidR="00B963E0" w:rsidRPr="00DE3E08" w:rsidRDefault="00B963E0" w:rsidP="00E30A8D">
            <w:pPr>
              <w:tabs>
                <w:tab w:val="left" w:pos="6780"/>
              </w:tabs>
              <w:jc w:val="center"/>
              <w:rPr>
                <w:rFonts w:ascii="Times New Roman" w:hAnsi="Times New Roman" w:cs="Times New Roman"/>
                <w:sz w:val="16"/>
                <w:szCs w:val="24"/>
              </w:rPr>
            </w:pPr>
            <w:r>
              <w:rPr>
                <w:rFonts w:ascii="Times New Roman" w:hAnsi="Times New Roman" w:cs="Times New Roman"/>
                <w:sz w:val="16"/>
                <w:szCs w:val="24"/>
              </w:rPr>
              <w:t>501</w:t>
            </w:r>
          </w:p>
        </w:tc>
        <w:tc>
          <w:tcPr>
            <w:tcW w:w="851" w:type="dxa"/>
            <w:vAlign w:val="center"/>
          </w:tcPr>
          <w:p w:rsidR="00B963E0" w:rsidRPr="00DE3E08" w:rsidRDefault="00B963E0" w:rsidP="00E30A8D">
            <w:pPr>
              <w:tabs>
                <w:tab w:val="left" w:pos="6780"/>
              </w:tabs>
              <w:jc w:val="center"/>
              <w:rPr>
                <w:rFonts w:ascii="Times New Roman" w:hAnsi="Times New Roman" w:cs="Times New Roman"/>
                <w:sz w:val="16"/>
                <w:szCs w:val="24"/>
              </w:rPr>
            </w:pPr>
            <w:r>
              <w:rPr>
                <w:rFonts w:ascii="Times New Roman" w:hAnsi="Times New Roman" w:cs="Times New Roman"/>
                <w:sz w:val="16"/>
                <w:szCs w:val="24"/>
              </w:rPr>
              <w:t>20</w:t>
            </w:r>
          </w:p>
        </w:tc>
        <w:tc>
          <w:tcPr>
            <w:tcW w:w="1134" w:type="dxa"/>
            <w:vAlign w:val="center"/>
          </w:tcPr>
          <w:p w:rsidR="00B963E0" w:rsidRPr="00DE3E08" w:rsidRDefault="00B963E0" w:rsidP="00E30A8D">
            <w:pPr>
              <w:tabs>
                <w:tab w:val="left" w:pos="6780"/>
              </w:tabs>
              <w:jc w:val="center"/>
              <w:rPr>
                <w:rFonts w:ascii="Times New Roman" w:hAnsi="Times New Roman" w:cs="Times New Roman"/>
                <w:sz w:val="16"/>
                <w:szCs w:val="24"/>
              </w:rPr>
            </w:pPr>
            <w:r>
              <w:rPr>
                <w:rFonts w:ascii="Times New Roman" w:hAnsi="Times New Roman" w:cs="Times New Roman"/>
                <w:sz w:val="16"/>
                <w:szCs w:val="24"/>
              </w:rPr>
              <w:t>8</w:t>
            </w:r>
          </w:p>
        </w:tc>
        <w:tc>
          <w:tcPr>
            <w:tcW w:w="850" w:type="dxa"/>
            <w:vAlign w:val="center"/>
          </w:tcPr>
          <w:p w:rsidR="00B963E0" w:rsidRPr="00DE3E08" w:rsidRDefault="00B963E0" w:rsidP="00E30A8D">
            <w:pPr>
              <w:tabs>
                <w:tab w:val="left" w:pos="6780"/>
              </w:tabs>
              <w:jc w:val="center"/>
              <w:rPr>
                <w:rFonts w:ascii="Times New Roman" w:hAnsi="Times New Roman" w:cs="Times New Roman"/>
                <w:sz w:val="16"/>
                <w:szCs w:val="24"/>
              </w:rPr>
            </w:pPr>
            <w:r>
              <w:rPr>
                <w:rFonts w:ascii="Times New Roman" w:hAnsi="Times New Roman" w:cs="Times New Roman"/>
                <w:sz w:val="16"/>
                <w:szCs w:val="24"/>
              </w:rPr>
              <w:t>12</w:t>
            </w:r>
          </w:p>
        </w:tc>
        <w:tc>
          <w:tcPr>
            <w:tcW w:w="851" w:type="dxa"/>
            <w:vAlign w:val="center"/>
          </w:tcPr>
          <w:p w:rsidR="00B963E0" w:rsidRPr="00DE3E08" w:rsidRDefault="00B963E0" w:rsidP="00E30A8D">
            <w:pPr>
              <w:tabs>
                <w:tab w:val="left" w:pos="6780"/>
              </w:tabs>
              <w:jc w:val="center"/>
              <w:rPr>
                <w:rFonts w:ascii="Times New Roman" w:hAnsi="Times New Roman" w:cs="Times New Roman"/>
                <w:sz w:val="16"/>
                <w:szCs w:val="24"/>
              </w:rPr>
            </w:pPr>
            <w:r>
              <w:rPr>
                <w:rFonts w:ascii="Times New Roman" w:hAnsi="Times New Roman" w:cs="Times New Roman"/>
                <w:sz w:val="16"/>
                <w:szCs w:val="24"/>
              </w:rPr>
              <w:t>1</w:t>
            </w:r>
          </w:p>
        </w:tc>
        <w:tc>
          <w:tcPr>
            <w:tcW w:w="850" w:type="dxa"/>
            <w:vAlign w:val="center"/>
          </w:tcPr>
          <w:p w:rsidR="00B963E0" w:rsidRDefault="00B963E0" w:rsidP="00E30A8D">
            <w:pPr>
              <w:tabs>
                <w:tab w:val="left" w:pos="6780"/>
              </w:tabs>
              <w:jc w:val="center"/>
              <w:rPr>
                <w:rFonts w:ascii="Times New Roman" w:hAnsi="Times New Roman" w:cs="Times New Roman"/>
                <w:sz w:val="16"/>
                <w:szCs w:val="24"/>
              </w:rPr>
            </w:pPr>
            <w:proofErr w:type="spellStart"/>
            <w:r>
              <w:rPr>
                <w:rFonts w:ascii="Times New Roman" w:hAnsi="Times New Roman" w:cs="Times New Roman"/>
                <w:sz w:val="16"/>
                <w:szCs w:val="24"/>
              </w:rPr>
              <w:t>Praedial</w:t>
            </w:r>
            <w:proofErr w:type="spellEnd"/>
            <w:r>
              <w:rPr>
                <w:rFonts w:ascii="Times New Roman" w:hAnsi="Times New Roman" w:cs="Times New Roman"/>
                <w:sz w:val="16"/>
                <w:szCs w:val="24"/>
              </w:rPr>
              <w:t xml:space="preserve"> Larceny &amp;</w:t>
            </w:r>
          </w:p>
          <w:p w:rsidR="00B963E0" w:rsidRPr="00DE3E08" w:rsidRDefault="00B963E0" w:rsidP="00E30A8D">
            <w:pPr>
              <w:tabs>
                <w:tab w:val="left" w:pos="6780"/>
              </w:tabs>
              <w:jc w:val="center"/>
              <w:rPr>
                <w:rFonts w:ascii="Times New Roman" w:hAnsi="Times New Roman" w:cs="Times New Roman"/>
                <w:sz w:val="16"/>
                <w:szCs w:val="24"/>
              </w:rPr>
            </w:pPr>
            <w:r>
              <w:rPr>
                <w:rFonts w:ascii="Times New Roman" w:hAnsi="Times New Roman" w:cs="Times New Roman"/>
                <w:sz w:val="16"/>
                <w:szCs w:val="24"/>
              </w:rPr>
              <w:t xml:space="preserve">Failing </w:t>
            </w:r>
            <w:proofErr w:type="spellStart"/>
            <w:r>
              <w:rPr>
                <w:rFonts w:ascii="Times New Roman" w:hAnsi="Times New Roman" w:cs="Times New Roman"/>
                <w:sz w:val="16"/>
                <w:szCs w:val="24"/>
              </w:rPr>
              <w:t>tp</w:t>
            </w:r>
            <w:proofErr w:type="spellEnd"/>
            <w:r>
              <w:rPr>
                <w:rFonts w:ascii="Times New Roman" w:hAnsi="Times New Roman" w:cs="Times New Roman"/>
                <w:sz w:val="16"/>
                <w:szCs w:val="24"/>
              </w:rPr>
              <w:t xml:space="preserve"> submit breath for sobriety test</w:t>
            </w:r>
          </w:p>
        </w:tc>
        <w:tc>
          <w:tcPr>
            <w:tcW w:w="1134" w:type="dxa"/>
            <w:vAlign w:val="center"/>
          </w:tcPr>
          <w:p w:rsidR="00B963E0" w:rsidRPr="00DE3E08" w:rsidRDefault="00B963E0" w:rsidP="00E30A8D">
            <w:pPr>
              <w:tabs>
                <w:tab w:val="left" w:pos="6780"/>
              </w:tabs>
              <w:jc w:val="center"/>
              <w:rPr>
                <w:rFonts w:ascii="Times New Roman" w:hAnsi="Times New Roman" w:cs="Times New Roman"/>
                <w:sz w:val="16"/>
                <w:szCs w:val="24"/>
              </w:rPr>
            </w:pPr>
            <w:r>
              <w:rPr>
                <w:rFonts w:ascii="Times New Roman" w:hAnsi="Times New Roman" w:cs="Times New Roman"/>
                <w:sz w:val="16"/>
                <w:szCs w:val="24"/>
              </w:rPr>
              <w:t>9 Officers</w:t>
            </w:r>
          </w:p>
        </w:tc>
        <w:tc>
          <w:tcPr>
            <w:tcW w:w="851" w:type="dxa"/>
            <w:vAlign w:val="center"/>
          </w:tcPr>
          <w:p w:rsidR="00B963E0" w:rsidRPr="00DE3E08" w:rsidRDefault="00B963E0" w:rsidP="00E30A8D">
            <w:pPr>
              <w:tabs>
                <w:tab w:val="left" w:pos="6780"/>
              </w:tabs>
              <w:jc w:val="center"/>
              <w:rPr>
                <w:rFonts w:ascii="Times New Roman" w:hAnsi="Times New Roman" w:cs="Times New Roman"/>
                <w:sz w:val="16"/>
                <w:szCs w:val="24"/>
              </w:rPr>
            </w:pPr>
            <w:r>
              <w:rPr>
                <w:rFonts w:ascii="Times New Roman" w:hAnsi="Times New Roman" w:cs="Times New Roman"/>
                <w:sz w:val="16"/>
                <w:szCs w:val="24"/>
              </w:rPr>
              <w:t>-</w:t>
            </w:r>
          </w:p>
        </w:tc>
        <w:tc>
          <w:tcPr>
            <w:tcW w:w="850" w:type="dxa"/>
            <w:vAlign w:val="center"/>
          </w:tcPr>
          <w:p w:rsidR="00B963E0" w:rsidRPr="00DE3E08" w:rsidRDefault="00B963E0" w:rsidP="00E30A8D">
            <w:pPr>
              <w:tabs>
                <w:tab w:val="left" w:pos="6780"/>
              </w:tabs>
              <w:jc w:val="center"/>
              <w:rPr>
                <w:rFonts w:ascii="Times New Roman" w:hAnsi="Times New Roman" w:cs="Times New Roman"/>
                <w:sz w:val="16"/>
                <w:szCs w:val="24"/>
              </w:rPr>
            </w:pPr>
            <w:r>
              <w:rPr>
                <w:rFonts w:ascii="Times New Roman" w:hAnsi="Times New Roman" w:cs="Times New Roman"/>
                <w:sz w:val="16"/>
                <w:szCs w:val="24"/>
              </w:rPr>
              <w:t>-</w:t>
            </w:r>
          </w:p>
        </w:tc>
      </w:tr>
    </w:tbl>
    <w:p w:rsidR="00B963E0" w:rsidRPr="00DE3E08" w:rsidRDefault="00B963E0" w:rsidP="00B963E0">
      <w:pPr>
        <w:tabs>
          <w:tab w:val="left" w:pos="6780"/>
        </w:tabs>
        <w:spacing w:after="0"/>
        <w:jc w:val="both"/>
        <w:rPr>
          <w:rFonts w:ascii="Times New Roman" w:hAnsi="Times New Roman" w:cs="Times New Roman"/>
          <w:sz w:val="24"/>
          <w:szCs w:val="24"/>
        </w:rPr>
      </w:pPr>
    </w:p>
    <w:p w:rsidR="00827215" w:rsidRPr="00C6322C" w:rsidRDefault="00935880">
      <w:pPr>
        <w:rPr>
          <w:rFonts w:ascii="Times New Roman" w:hAnsi="Times New Roman" w:cs="Times New Roman"/>
        </w:rPr>
      </w:pPr>
    </w:p>
    <w:p w:rsidR="00C6322C" w:rsidRPr="00C6322C" w:rsidRDefault="00C6322C" w:rsidP="00C6322C">
      <w:pPr>
        <w:spacing w:after="0" w:line="240" w:lineRule="auto"/>
        <w:jc w:val="both"/>
        <w:rPr>
          <w:rFonts w:ascii="Times New Roman" w:hAnsi="Times New Roman" w:cs="Times New Roman"/>
          <w:sz w:val="24"/>
          <w:szCs w:val="24"/>
        </w:rPr>
      </w:pPr>
      <w:r w:rsidRPr="00C6322C">
        <w:rPr>
          <w:rFonts w:ascii="Times New Roman" w:hAnsi="Times New Roman" w:cs="Times New Roman"/>
          <w:sz w:val="24"/>
          <w:szCs w:val="24"/>
        </w:rPr>
        <w:t>The projected trajectory of growth is expected to continue in 2013 due to the continued positive impact of the following:-</w:t>
      </w:r>
    </w:p>
    <w:p w:rsidR="00C6322C" w:rsidRPr="00C6322C" w:rsidRDefault="00C6322C" w:rsidP="00C6322C">
      <w:pPr>
        <w:pStyle w:val="ListParagraph"/>
        <w:spacing w:after="0" w:line="240" w:lineRule="auto"/>
        <w:ind w:left="567"/>
        <w:jc w:val="both"/>
        <w:rPr>
          <w:rFonts w:ascii="Times New Roman" w:hAnsi="Times New Roman" w:cs="Times New Roman"/>
          <w:sz w:val="24"/>
          <w:szCs w:val="24"/>
        </w:rPr>
      </w:pPr>
    </w:p>
    <w:p w:rsidR="00C6322C" w:rsidRPr="00C6322C" w:rsidRDefault="00C6322C" w:rsidP="00C6322C">
      <w:pPr>
        <w:pStyle w:val="ListParagraph"/>
        <w:numPr>
          <w:ilvl w:val="0"/>
          <w:numId w:val="5"/>
        </w:numPr>
        <w:spacing w:after="0" w:line="240" w:lineRule="auto"/>
        <w:ind w:left="1276" w:hanging="709"/>
        <w:jc w:val="both"/>
        <w:rPr>
          <w:rFonts w:ascii="Times New Roman" w:hAnsi="Times New Roman" w:cs="Times New Roman"/>
          <w:sz w:val="24"/>
          <w:szCs w:val="24"/>
        </w:rPr>
      </w:pPr>
      <w:r w:rsidRPr="00C6322C">
        <w:rPr>
          <w:rFonts w:ascii="Times New Roman" w:hAnsi="Times New Roman" w:cs="Times New Roman"/>
          <w:sz w:val="24"/>
          <w:szCs w:val="24"/>
        </w:rPr>
        <w:t>the National Food Production Action Plan 2012-2015;</w:t>
      </w:r>
    </w:p>
    <w:p w:rsidR="00C6322C" w:rsidRPr="00C6322C" w:rsidRDefault="00C6322C" w:rsidP="00C6322C">
      <w:pPr>
        <w:pStyle w:val="ListParagraph"/>
        <w:spacing w:after="0" w:line="240" w:lineRule="auto"/>
        <w:ind w:left="1276" w:hanging="709"/>
        <w:jc w:val="both"/>
        <w:rPr>
          <w:rFonts w:ascii="Times New Roman" w:hAnsi="Times New Roman" w:cs="Times New Roman"/>
          <w:sz w:val="24"/>
          <w:szCs w:val="24"/>
        </w:rPr>
      </w:pPr>
    </w:p>
    <w:p w:rsidR="00C6322C" w:rsidRPr="00C6322C" w:rsidRDefault="00C6322C" w:rsidP="00C6322C">
      <w:pPr>
        <w:numPr>
          <w:ilvl w:val="0"/>
          <w:numId w:val="5"/>
        </w:numPr>
        <w:spacing w:after="0" w:line="240" w:lineRule="auto"/>
        <w:ind w:left="1276" w:hanging="709"/>
        <w:contextualSpacing/>
        <w:jc w:val="both"/>
        <w:rPr>
          <w:rFonts w:ascii="Times New Roman" w:hAnsi="Times New Roman" w:cs="Times New Roman"/>
          <w:sz w:val="24"/>
          <w:szCs w:val="24"/>
        </w:rPr>
      </w:pPr>
      <w:r w:rsidRPr="00C6322C">
        <w:rPr>
          <w:rFonts w:ascii="Times New Roman" w:hAnsi="Times New Roman" w:cs="Times New Roman"/>
          <w:sz w:val="24"/>
          <w:szCs w:val="24"/>
        </w:rPr>
        <w:t>the expansion of the Commercial Large Farm initiative through the regional arrangement with Guyana and local implementation efforts;</w:t>
      </w:r>
    </w:p>
    <w:p w:rsidR="00C6322C" w:rsidRPr="00C6322C" w:rsidRDefault="00C6322C" w:rsidP="00C6322C">
      <w:pPr>
        <w:spacing w:after="0" w:line="240" w:lineRule="auto"/>
        <w:ind w:left="1276" w:hanging="709"/>
        <w:contextualSpacing/>
        <w:jc w:val="both"/>
        <w:rPr>
          <w:rFonts w:ascii="Times New Roman" w:hAnsi="Times New Roman" w:cs="Times New Roman"/>
          <w:sz w:val="24"/>
          <w:szCs w:val="24"/>
        </w:rPr>
      </w:pPr>
    </w:p>
    <w:p w:rsidR="00C6322C" w:rsidRPr="00C6322C" w:rsidRDefault="00C6322C" w:rsidP="00C6322C">
      <w:pPr>
        <w:numPr>
          <w:ilvl w:val="0"/>
          <w:numId w:val="5"/>
        </w:numPr>
        <w:spacing w:after="0" w:line="240" w:lineRule="auto"/>
        <w:ind w:left="1276" w:hanging="709"/>
        <w:contextualSpacing/>
        <w:jc w:val="both"/>
        <w:rPr>
          <w:rFonts w:ascii="Times New Roman" w:hAnsi="Times New Roman" w:cs="Times New Roman"/>
          <w:sz w:val="24"/>
          <w:szCs w:val="24"/>
        </w:rPr>
      </w:pPr>
      <w:r w:rsidRPr="00C6322C">
        <w:rPr>
          <w:rFonts w:ascii="Times New Roman" w:hAnsi="Times New Roman" w:cs="Times New Roman"/>
          <w:sz w:val="24"/>
          <w:szCs w:val="24"/>
        </w:rPr>
        <w:t>the launch of the Caroni Green Initiative;</w:t>
      </w:r>
    </w:p>
    <w:p w:rsidR="00C6322C" w:rsidRPr="00C6322C" w:rsidRDefault="00C6322C" w:rsidP="00C6322C">
      <w:pPr>
        <w:spacing w:after="0"/>
        <w:ind w:left="1276" w:hanging="709"/>
        <w:contextualSpacing/>
        <w:jc w:val="both"/>
        <w:rPr>
          <w:rFonts w:ascii="Times New Roman" w:hAnsi="Times New Roman" w:cs="Times New Roman"/>
          <w:sz w:val="24"/>
          <w:szCs w:val="24"/>
        </w:rPr>
      </w:pPr>
    </w:p>
    <w:p w:rsidR="00C6322C" w:rsidRPr="00C6322C" w:rsidRDefault="00C6322C" w:rsidP="00C6322C">
      <w:pPr>
        <w:numPr>
          <w:ilvl w:val="0"/>
          <w:numId w:val="5"/>
        </w:numPr>
        <w:spacing w:after="0" w:line="240" w:lineRule="auto"/>
        <w:ind w:left="1276" w:hanging="709"/>
        <w:contextualSpacing/>
        <w:jc w:val="both"/>
        <w:rPr>
          <w:rFonts w:ascii="Times New Roman" w:hAnsi="Times New Roman" w:cs="Times New Roman"/>
          <w:sz w:val="24"/>
          <w:szCs w:val="24"/>
        </w:rPr>
      </w:pPr>
      <w:r w:rsidRPr="00C6322C">
        <w:rPr>
          <w:rFonts w:ascii="Times New Roman" w:hAnsi="Times New Roman" w:cs="Times New Roman"/>
          <w:sz w:val="24"/>
          <w:szCs w:val="24"/>
        </w:rPr>
        <w:lastRenderedPageBreak/>
        <w:t>the review and implementation of a more structured approach on the Agricultural Incentive Program with special incentives for the larger farms;</w:t>
      </w:r>
    </w:p>
    <w:p w:rsidR="00C6322C" w:rsidRPr="00C6322C" w:rsidRDefault="00C6322C" w:rsidP="00C6322C">
      <w:pPr>
        <w:pStyle w:val="ListParagraph"/>
        <w:spacing w:after="0" w:line="240" w:lineRule="auto"/>
        <w:ind w:left="1276" w:hanging="709"/>
        <w:rPr>
          <w:rFonts w:ascii="Times New Roman" w:hAnsi="Times New Roman" w:cs="Times New Roman"/>
          <w:sz w:val="24"/>
          <w:szCs w:val="24"/>
        </w:rPr>
      </w:pPr>
    </w:p>
    <w:p w:rsidR="00C6322C" w:rsidRPr="00C6322C" w:rsidRDefault="00C6322C" w:rsidP="00C6322C">
      <w:pPr>
        <w:numPr>
          <w:ilvl w:val="0"/>
          <w:numId w:val="5"/>
        </w:numPr>
        <w:spacing w:after="0" w:line="240" w:lineRule="auto"/>
        <w:ind w:left="1276" w:hanging="709"/>
        <w:contextualSpacing/>
        <w:jc w:val="both"/>
        <w:rPr>
          <w:rFonts w:ascii="Times New Roman" w:hAnsi="Times New Roman" w:cs="Times New Roman"/>
          <w:sz w:val="24"/>
          <w:szCs w:val="24"/>
        </w:rPr>
      </w:pPr>
      <w:r w:rsidRPr="00C6322C">
        <w:rPr>
          <w:rFonts w:ascii="Times New Roman" w:hAnsi="Times New Roman" w:cs="Times New Roman"/>
          <w:sz w:val="24"/>
          <w:szCs w:val="24"/>
        </w:rPr>
        <w:t xml:space="preserve">the re - launch of a strengthened </w:t>
      </w:r>
      <w:proofErr w:type="spellStart"/>
      <w:r w:rsidRPr="00C6322C">
        <w:rPr>
          <w:rFonts w:ascii="Times New Roman" w:hAnsi="Times New Roman" w:cs="Times New Roman"/>
          <w:sz w:val="24"/>
          <w:szCs w:val="24"/>
        </w:rPr>
        <w:t>Praedial</w:t>
      </w:r>
      <w:proofErr w:type="spellEnd"/>
      <w:r w:rsidRPr="00C6322C">
        <w:rPr>
          <w:rFonts w:ascii="Times New Roman" w:hAnsi="Times New Roman" w:cs="Times New Roman"/>
          <w:sz w:val="24"/>
          <w:szCs w:val="24"/>
        </w:rPr>
        <w:t xml:space="preserve"> Larceny Unit; and</w:t>
      </w:r>
    </w:p>
    <w:p w:rsidR="00C6322C" w:rsidRPr="00C6322C" w:rsidRDefault="00C6322C" w:rsidP="00C6322C">
      <w:pPr>
        <w:spacing w:after="0" w:line="240" w:lineRule="auto"/>
        <w:ind w:left="1276" w:hanging="709"/>
        <w:contextualSpacing/>
        <w:jc w:val="both"/>
        <w:rPr>
          <w:rFonts w:ascii="Times New Roman" w:hAnsi="Times New Roman" w:cs="Times New Roman"/>
          <w:sz w:val="24"/>
          <w:szCs w:val="24"/>
        </w:rPr>
      </w:pPr>
    </w:p>
    <w:p w:rsidR="00C6322C" w:rsidRPr="00C6322C" w:rsidRDefault="00C6322C" w:rsidP="00C6322C">
      <w:pPr>
        <w:numPr>
          <w:ilvl w:val="0"/>
          <w:numId w:val="5"/>
        </w:numPr>
        <w:spacing w:after="0" w:line="240" w:lineRule="auto"/>
        <w:ind w:left="1276" w:hanging="709"/>
        <w:contextualSpacing/>
        <w:jc w:val="both"/>
        <w:rPr>
          <w:rFonts w:ascii="Times New Roman" w:hAnsi="Times New Roman" w:cs="Times New Roman"/>
          <w:sz w:val="24"/>
          <w:szCs w:val="24"/>
        </w:rPr>
      </w:pPr>
      <w:proofErr w:type="gramStart"/>
      <w:r w:rsidRPr="00C6322C">
        <w:rPr>
          <w:rFonts w:ascii="Times New Roman" w:hAnsi="Times New Roman" w:cs="Times New Roman"/>
          <w:sz w:val="24"/>
          <w:szCs w:val="24"/>
        </w:rPr>
        <w:t>the</w:t>
      </w:r>
      <w:proofErr w:type="gramEnd"/>
      <w:r w:rsidRPr="00C6322C">
        <w:rPr>
          <w:rFonts w:ascii="Times New Roman" w:hAnsi="Times New Roman" w:cs="Times New Roman"/>
          <w:sz w:val="24"/>
          <w:szCs w:val="24"/>
        </w:rPr>
        <w:t xml:space="preserve"> continued efforts to distribute leases to farmers.</w:t>
      </w:r>
    </w:p>
    <w:p w:rsidR="00C6322C" w:rsidRPr="00C6322C" w:rsidRDefault="00C6322C">
      <w:pPr>
        <w:rPr>
          <w:rFonts w:ascii="Times New Roman" w:hAnsi="Times New Roman" w:cs="Times New Roman"/>
        </w:rPr>
      </w:pPr>
    </w:p>
    <w:sectPr w:rsidR="00C6322C" w:rsidRPr="00C6322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805D5"/>
    <w:multiLevelType w:val="hybridMultilevel"/>
    <w:tmpl w:val="3B463E36"/>
    <w:lvl w:ilvl="0" w:tplc="2CA89B68">
      <w:start w:val="1"/>
      <w:numFmt w:val="lowerRoman"/>
      <w:lvlText w:val="(%1)"/>
      <w:lvlJc w:val="left"/>
      <w:pPr>
        <w:ind w:left="720" w:hanging="360"/>
      </w:pPr>
      <w:rPr>
        <w:rFonts w:ascii="Times New Roman" w:eastAsiaTheme="minorEastAsia" w:hAnsi="Times New Roman" w:cs="Times New Roman"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abstractNum w:abstractNumId="1">
    <w:nsid w:val="10792D71"/>
    <w:multiLevelType w:val="hybridMultilevel"/>
    <w:tmpl w:val="4B3E022E"/>
    <w:lvl w:ilvl="0" w:tplc="2C09000F">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2">
    <w:nsid w:val="1EFC4FB9"/>
    <w:multiLevelType w:val="hybridMultilevel"/>
    <w:tmpl w:val="6C240840"/>
    <w:lvl w:ilvl="0" w:tplc="3DBEF26A">
      <w:start w:val="3"/>
      <w:numFmt w:val="decimal"/>
      <w:lvlText w:val="%1."/>
      <w:lvlJc w:val="left"/>
      <w:pPr>
        <w:ind w:left="1800" w:hanging="360"/>
      </w:pPr>
      <w:rPr>
        <w:rFonts w:hint="default"/>
        <w:b w:val="0"/>
      </w:rPr>
    </w:lvl>
    <w:lvl w:ilvl="1" w:tplc="2C090019" w:tentative="1">
      <w:start w:val="1"/>
      <w:numFmt w:val="lowerLetter"/>
      <w:lvlText w:val="%2."/>
      <w:lvlJc w:val="left"/>
      <w:pPr>
        <w:ind w:left="2520" w:hanging="360"/>
      </w:pPr>
    </w:lvl>
    <w:lvl w:ilvl="2" w:tplc="2C09001B" w:tentative="1">
      <w:start w:val="1"/>
      <w:numFmt w:val="lowerRoman"/>
      <w:lvlText w:val="%3."/>
      <w:lvlJc w:val="right"/>
      <w:pPr>
        <w:ind w:left="3240" w:hanging="180"/>
      </w:pPr>
    </w:lvl>
    <w:lvl w:ilvl="3" w:tplc="2C09000F" w:tentative="1">
      <w:start w:val="1"/>
      <w:numFmt w:val="decimal"/>
      <w:lvlText w:val="%4."/>
      <w:lvlJc w:val="left"/>
      <w:pPr>
        <w:ind w:left="3960" w:hanging="360"/>
      </w:pPr>
    </w:lvl>
    <w:lvl w:ilvl="4" w:tplc="2C090019" w:tentative="1">
      <w:start w:val="1"/>
      <w:numFmt w:val="lowerLetter"/>
      <w:lvlText w:val="%5."/>
      <w:lvlJc w:val="left"/>
      <w:pPr>
        <w:ind w:left="4680" w:hanging="360"/>
      </w:pPr>
    </w:lvl>
    <w:lvl w:ilvl="5" w:tplc="2C09001B" w:tentative="1">
      <w:start w:val="1"/>
      <w:numFmt w:val="lowerRoman"/>
      <w:lvlText w:val="%6."/>
      <w:lvlJc w:val="right"/>
      <w:pPr>
        <w:ind w:left="5400" w:hanging="180"/>
      </w:pPr>
    </w:lvl>
    <w:lvl w:ilvl="6" w:tplc="2C09000F" w:tentative="1">
      <w:start w:val="1"/>
      <w:numFmt w:val="decimal"/>
      <w:lvlText w:val="%7."/>
      <w:lvlJc w:val="left"/>
      <w:pPr>
        <w:ind w:left="6120" w:hanging="360"/>
      </w:pPr>
    </w:lvl>
    <w:lvl w:ilvl="7" w:tplc="2C090019" w:tentative="1">
      <w:start w:val="1"/>
      <w:numFmt w:val="lowerLetter"/>
      <w:lvlText w:val="%8."/>
      <w:lvlJc w:val="left"/>
      <w:pPr>
        <w:ind w:left="6840" w:hanging="360"/>
      </w:pPr>
    </w:lvl>
    <w:lvl w:ilvl="8" w:tplc="2C09001B" w:tentative="1">
      <w:start w:val="1"/>
      <w:numFmt w:val="lowerRoman"/>
      <w:lvlText w:val="%9."/>
      <w:lvlJc w:val="right"/>
      <w:pPr>
        <w:ind w:left="7560" w:hanging="180"/>
      </w:pPr>
    </w:lvl>
  </w:abstractNum>
  <w:abstractNum w:abstractNumId="3">
    <w:nsid w:val="228C0A5D"/>
    <w:multiLevelType w:val="hybridMultilevel"/>
    <w:tmpl w:val="C53280FC"/>
    <w:lvl w:ilvl="0" w:tplc="F8765928">
      <w:start w:val="1"/>
      <w:numFmt w:val="lowerRoman"/>
      <w:lvlText w:val="(%1)"/>
      <w:lvlJc w:val="left"/>
      <w:pPr>
        <w:ind w:left="1080" w:hanging="72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4">
    <w:nsid w:val="70A653B6"/>
    <w:multiLevelType w:val="hybridMultilevel"/>
    <w:tmpl w:val="8BE08F70"/>
    <w:lvl w:ilvl="0" w:tplc="2C090001">
      <w:start w:val="1"/>
      <w:numFmt w:val="bullet"/>
      <w:lvlText w:val=""/>
      <w:lvlJc w:val="left"/>
      <w:pPr>
        <w:ind w:left="720" w:hanging="360"/>
      </w:pPr>
      <w:rPr>
        <w:rFonts w:ascii="Symbol" w:hAnsi="Symbol"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3E0"/>
    <w:rsid w:val="000234C7"/>
    <w:rsid w:val="00596761"/>
    <w:rsid w:val="005C4FD7"/>
    <w:rsid w:val="00611FD9"/>
    <w:rsid w:val="00935880"/>
    <w:rsid w:val="00A814F3"/>
    <w:rsid w:val="00B963E0"/>
    <w:rsid w:val="00C17BCD"/>
    <w:rsid w:val="00C6322C"/>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63E0"/>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63E0"/>
    <w:pPr>
      <w:ind w:left="720"/>
      <w:contextualSpacing/>
    </w:pPr>
  </w:style>
  <w:style w:type="table" w:styleId="TableGrid">
    <w:name w:val="Table Grid"/>
    <w:basedOn w:val="TableNormal"/>
    <w:uiPriority w:val="59"/>
    <w:rsid w:val="00B963E0"/>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814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14F3"/>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63E0"/>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63E0"/>
    <w:pPr>
      <w:ind w:left="720"/>
      <w:contextualSpacing/>
    </w:pPr>
  </w:style>
  <w:style w:type="table" w:styleId="TableGrid">
    <w:name w:val="Table Grid"/>
    <w:basedOn w:val="TableNormal"/>
    <w:uiPriority w:val="59"/>
    <w:rsid w:val="00B963E0"/>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814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14F3"/>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microsoft.com/office/2007/relationships/stylesWithEffects" Target="stylesWithEffect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TT"/>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sz="1400"/>
            </a:pPr>
            <a:r>
              <a:rPr lang="en-US" sz="1400"/>
              <a:t>Quarterly Gross Domestic Product Q1 2012 - Q1 2013</a:t>
            </a:r>
          </a:p>
        </c:rich>
      </c:tx>
      <c:layout>
        <c:manualLayout>
          <c:xMode val="edge"/>
          <c:yMode val="edge"/>
          <c:x val="0.11048318042813456"/>
          <c:y val="6.0150385436091872E-2"/>
        </c:manualLayout>
      </c:layout>
      <c:overlay val="0"/>
    </c:title>
    <c:autoTitleDeleted val="0"/>
    <c:plotArea>
      <c:layout>
        <c:manualLayout>
          <c:layoutTarget val="inner"/>
          <c:xMode val="edge"/>
          <c:yMode val="edge"/>
          <c:x val="9.5781483196953315E-2"/>
          <c:y val="0.18410266170354342"/>
          <c:w val="0.83451572651779182"/>
          <c:h val="0.69658025461825701"/>
        </c:manualLayout>
      </c:layout>
      <c:lineChart>
        <c:grouping val="standard"/>
        <c:varyColors val="0"/>
        <c:ser>
          <c:idx val="0"/>
          <c:order val="0"/>
          <c:tx>
            <c:v>Quarterly Gross Domestic Product</c:v>
          </c:tx>
          <c:spPr>
            <a:ln>
              <a:solidFill>
                <a:srgbClr val="FF0000"/>
              </a:solidFill>
            </a:ln>
          </c:spPr>
          <c:marker>
            <c:symbol val="none"/>
          </c:marker>
          <c:dLbls>
            <c:txPr>
              <a:bodyPr/>
              <a:lstStyle/>
              <a:p>
                <a:pPr>
                  <a:defRPr b="1"/>
                </a:pPr>
                <a:endParaRPr lang="en-US"/>
              </a:p>
            </c:txPr>
            <c:dLblPos val="t"/>
            <c:showLegendKey val="0"/>
            <c:showVal val="1"/>
            <c:showCatName val="0"/>
            <c:showSerName val="0"/>
            <c:showPercent val="0"/>
            <c:showBubbleSize val="0"/>
            <c:showLeaderLines val="0"/>
          </c:dLbls>
          <c:cat>
            <c:strRef>
              <c:f>Sheet1!$A$4:$A$8</c:f>
              <c:strCache>
                <c:ptCount val="5"/>
                <c:pt idx="0">
                  <c:v>2012 Q1</c:v>
                </c:pt>
                <c:pt idx="1">
                  <c:v>2012 Q2 </c:v>
                </c:pt>
                <c:pt idx="2">
                  <c:v>2012 Q3</c:v>
                </c:pt>
                <c:pt idx="3">
                  <c:v>2012 Q4</c:v>
                </c:pt>
                <c:pt idx="4">
                  <c:v>2013 Q1 </c:v>
                </c:pt>
              </c:strCache>
            </c:strRef>
          </c:cat>
          <c:val>
            <c:numRef>
              <c:f>Sheet1!$B$4:$B$8</c:f>
              <c:numCache>
                <c:formatCode>General</c:formatCode>
                <c:ptCount val="5"/>
                <c:pt idx="0">
                  <c:v>-8.6</c:v>
                </c:pt>
                <c:pt idx="1">
                  <c:v>-5.0999999999999996</c:v>
                </c:pt>
                <c:pt idx="2">
                  <c:v>-4.3</c:v>
                </c:pt>
                <c:pt idx="3">
                  <c:v>1.5</c:v>
                </c:pt>
                <c:pt idx="4">
                  <c:v>5.0999999999999996</c:v>
                </c:pt>
              </c:numCache>
            </c:numRef>
          </c:val>
          <c:smooth val="0"/>
        </c:ser>
        <c:dLbls>
          <c:showLegendKey val="0"/>
          <c:showVal val="0"/>
          <c:showCatName val="0"/>
          <c:showSerName val="0"/>
          <c:showPercent val="0"/>
          <c:showBubbleSize val="0"/>
        </c:dLbls>
        <c:marker val="1"/>
        <c:smooth val="0"/>
        <c:axId val="116371840"/>
        <c:axId val="150944000"/>
      </c:lineChart>
      <c:catAx>
        <c:axId val="116371840"/>
        <c:scaling>
          <c:orientation val="minMax"/>
        </c:scaling>
        <c:delete val="0"/>
        <c:axPos val="b"/>
        <c:majorTickMark val="out"/>
        <c:minorTickMark val="none"/>
        <c:tickLblPos val="nextTo"/>
        <c:spPr>
          <a:ln w="38100">
            <a:solidFill>
              <a:schemeClr val="tx1"/>
            </a:solidFill>
          </a:ln>
        </c:spPr>
        <c:txPr>
          <a:bodyPr/>
          <a:lstStyle/>
          <a:p>
            <a:pPr>
              <a:defRPr sz="800" b="1"/>
            </a:pPr>
            <a:endParaRPr lang="en-US"/>
          </a:p>
        </c:txPr>
        <c:crossAx val="150944000"/>
        <c:crosses val="autoZero"/>
        <c:auto val="1"/>
        <c:lblAlgn val="ctr"/>
        <c:lblOffset val="100"/>
        <c:noMultiLvlLbl val="0"/>
      </c:catAx>
      <c:valAx>
        <c:axId val="150944000"/>
        <c:scaling>
          <c:orientation val="minMax"/>
        </c:scaling>
        <c:delete val="0"/>
        <c:axPos val="l"/>
        <c:numFmt formatCode="General" sourceLinked="1"/>
        <c:majorTickMark val="out"/>
        <c:minorTickMark val="none"/>
        <c:tickLblPos val="nextTo"/>
        <c:spPr>
          <a:ln w="38100">
            <a:solidFill>
              <a:schemeClr val="tx1"/>
            </a:solidFill>
          </a:ln>
        </c:spPr>
        <c:txPr>
          <a:bodyPr/>
          <a:lstStyle/>
          <a:p>
            <a:pPr>
              <a:defRPr sz="800" b="1"/>
            </a:pPr>
            <a:endParaRPr lang="en-US"/>
          </a:p>
        </c:txPr>
        <c:crossAx val="116371840"/>
        <c:crosses val="autoZero"/>
        <c:crossBetween val="between"/>
      </c:valAx>
      <c:spPr>
        <a:solidFill>
          <a:schemeClr val="bg1">
            <a:lumMod val="85000"/>
          </a:schemeClr>
        </a:solidFill>
      </c:spPr>
    </c:plotArea>
    <c:legend>
      <c:legendPos val="r"/>
      <c:layout>
        <c:manualLayout>
          <c:xMode val="edge"/>
          <c:yMode val="edge"/>
          <c:x val="0.71056832574827233"/>
          <c:y val="0.87677601512063863"/>
          <c:w val="0.27964574153001515"/>
          <c:h val="0.10860317859265149"/>
        </c:manualLayout>
      </c:layout>
      <c:overlay val="0"/>
      <c:txPr>
        <a:bodyPr/>
        <a:lstStyle/>
        <a:p>
          <a:pPr>
            <a:defRPr sz="700" b="1"/>
          </a:pPr>
          <a:endParaRPr lang="en-US"/>
        </a:p>
      </c:txPr>
    </c:legend>
    <c:plotVisOnly val="1"/>
    <c:dispBlanksAs val="gap"/>
    <c:showDLblsOverMax val="0"/>
  </c:chart>
  <c:spPr>
    <a:solidFill>
      <a:schemeClr val="bg1">
        <a:lumMod val="95000"/>
      </a:schemeClr>
    </a:solidFill>
    <a:ln>
      <a:noFill/>
    </a:ln>
  </c:sp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T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en-TT" sz="1400"/>
              <a:t>Food Inflation Rates and Headline Inflation Rates Q2 2012 to May 2013</a:t>
            </a:r>
          </a:p>
        </c:rich>
      </c:tx>
      <c:overlay val="1"/>
    </c:title>
    <c:autoTitleDeleted val="0"/>
    <c:plotArea>
      <c:layout>
        <c:manualLayout>
          <c:layoutTarget val="inner"/>
          <c:xMode val="edge"/>
          <c:yMode val="edge"/>
          <c:x val="0.15588333949231076"/>
          <c:y val="0.24214926578287452"/>
          <c:w val="0.7980738508769436"/>
          <c:h val="0.44742636500942629"/>
        </c:manualLayout>
      </c:layout>
      <c:lineChart>
        <c:grouping val="standard"/>
        <c:varyColors val="0"/>
        <c:ser>
          <c:idx val="0"/>
          <c:order val="0"/>
          <c:tx>
            <c:v>Food Inflation Rate</c:v>
          </c:tx>
          <c:spPr>
            <a:ln>
              <a:solidFill>
                <a:schemeClr val="tx1"/>
              </a:solidFill>
            </a:ln>
          </c:spPr>
          <c:marker>
            <c:symbol val="none"/>
          </c:marker>
          <c:cat>
            <c:strRef>
              <c:f>Sheet2!$A$3:$A$10</c:f>
              <c:strCache>
                <c:ptCount val="8"/>
                <c:pt idx="0">
                  <c:v>2012 Q2 </c:v>
                </c:pt>
                <c:pt idx="1">
                  <c:v>2012 Q3 </c:v>
                </c:pt>
                <c:pt idx="2">
                  <c:v>2012 Q4 </c:v>
                </c:pt>
                <c:pt idx="3">
                  <c:v>Jan-13</c:v>
                </c:pt>
                <c:pt idx="4">
                  <c:v>Feb-13</c:v>
                </c:pt>
                <c:pt idx="5">
                  <c:v>Mar-13</c:v>
                </c:pt>
                <c:pt idx="6">
                  <c:v>Apr-13</c:v>
                </c:pt>
                <c:pt idx="7">
                  <c:v>May-13</c:v>
                </c:pt>
              </c:strCache>
            </c:strRef>
          </c:cat>
          <c:val>
            <c:numRef>
              <c:f>Sheet2!$B$3:$B$10</c:f>
              <c:numCache>
                <c:formatCode>General</c:formatCode>
                <c:ptCount val="8"/>
                <c:pt idx="0">
                  <c:v>24.1</c:v>
                </c:pt>
                <c:pt idx="1">
                  <c:v>14.7</c:v>
                </c:pt>
                <c:pt idx="2">
                  <c:v>12.7</c:v>
                </c:pt>
                <c:pt idx="3">
                  <c:v>13.8</c:v>
                </c:pt>
                <c:pt idx="4">
                  <c:v>10.6</c:v>
                </c:pt>
                <c:pt idx="5">
                  <c:v>12.9</c:v>
                </c:pt>
                <c:pt idx="6">
                  <c:v>9.4</c:v>
                </c:pt>
                <c:pt idx="7">
                  <c:v>9.6</c:v>
                </c:pt>
              </c:numCache>
            </c:numRef>
          </c:val>
          <c:smooth val="0"/>
        </c:ser>
        <c:ser>
          <c:idx val="1"/>
          <c:order val="1"/>
          <c:tx>
            <c:v>Headline Inflation Rate</c:v>
          </c:tx>
          <c:marker>
            <c:symbol val="none"/>
          </c:marker>
          <c:cat>
            <c:strRef>
              <c:f>Sheet2!$A$3:$A$10</c:f>
              <c:strCache>
                <c:ptCount val="8"/>
                <c:pt idx="0">
                  <c:v>2012 Q2 </c:v>
                </c:pt>
                <c:pt idx="1">
                  <c:v>2012 Q3 </c:v>
                </c:pt>
                <c:pt idx="2">
                  <c:v>2012 Q4 </c:v>
                </c:pt>
                <c:pt idx="3">
                  <c:v>Jan-13</c:v>
                </c:pt>
                <c:pt idx="4">
                  <c:v>Feb-13</c:v>
                </c:pt>
                <c:pt idx="5">
                  <c:v>Mar-13</c:v>
                </c:pt>
                <c:pt idx="6">
                  <c:v>Apr-13</c:v>
                </c:pt>
                <c:pt idx="7">
                  <c:v>May-13</c:v>
                </c:pt>
              </c:strCache>
            </c:strRef>
          </c:cat>
          <c:val>
            <c:numRef>
              <c:f>Sheet2!$C$3:$C$10</c:f>
              <c:numCache>
                <c:formatCode>General</c:formatCode>
                <c:ptCount val="8"/>
                <c:pt idx="0">
                  <c:v>11</c:v>
                </c:pt>
                <c:pt idx="1">
                  <c:v>7.7</c:v>
                </c:pt>
                <c:pt idx="2">
                  <c:v>7.2</c:v>
                </c:pt>
                <c:pt idx="3">
                  <c:v>7.3</c:v>
                </c:pt>
                <c:pt idx="4">
                  <c:v>5.9</c:v>
                </c:pt>
                <c:pt idx="5">
                  <c:v>6.9</c:v>
                </c:pt>
                <c:pt idx="6">
                  <c:v>5.5</c:v>
                </c:pt>
                <c:pt idx="7">
                  <c:v>5.6</c:v>
                </c:pt>
              </c:numCache>
            </c:numRef>
          </c:val>
          <c:smooth val="0"/>
        </c:ser>
        <c:dLbls>
          <c:showLegendKey val="0"/>
          <c:showVal val="0"/>
          <c:showCatName val="0"/>
          <c:showSerName val="0"/>
          <c:showPercent val="0"/>
          <c:showBubbleSize val="0"/>
        </c:dLbls>
        <c:marker val="1"/>
        <c:smooth val="0"/>
        <c:axId val="167290368"/>
        <c:axId val="167291904"/>
      </c:lineChart>
      <c:catAx>
        <c:axId val="167290368"/>
        <c:scaling>
          <c:orientation val="minMax"/>
        </c:scaling>
        <c:delete val="0"/>
        <c:axPos val="b"/>
        <c:majorTickMark val="out"/>
        <c:minorTickMark val="none"/>
        <c:tickLblPos val="nextTo"/>
        <c:spPr>
          <a:ln w="38100">
            <a:solidFill>
              <a:schemeClr val="tx1"/>
            </a:solidFill>
          </a:ln>
        </c:spPr>
        <c:txPr>
          <a:bodyPr/>
          <a:lstStyle/>
          <a:p>
            <a:pPr>
              <a:defRPr b="1"/>
            </a:pPr>
            <a:endParaRPr lang="en-US"/>
          </a:p>
        </c:txPr>
        <c:crossAx val="167291904"/>
        <c:crosses val="autoZero"/>
        <c:auto val="1"/>
        <c:lblAlgn val="ctr"/>
        <c:lblOffset val="100"/>
        <c:noMultiLvlLbl val="0"/>
      </c:catAx>
      <c:valAx>
        <c:axId val="167291904"/>
        <c:scaling>
          <c:orientation val="minMax"/>
        </c:scaling>
        <c:delete val="0"/>
        <c:axPos val="l"/>
        <c:numFmt formatCode="General" sourceLinked="1"/>
        <c:majorTickMark val="out"/>
        <c:minorTickMark val="none"/>
        <c:tickLblPos val="nextTo"/>
        <c:spPr>
          <a:ln w="38100">
            <a:solidFill>
              <a:schemeClr val="tx1"/>
            </a:solidFill>
          </a:ln>
        </c:spPr>
        <c:txPr>
          <a:bodyPr/>
          <a:lstStyle/>
          <a:p>
            <a:pPr>
              <a:defRPr b="1"/>
            </a:pPr>
            <a:endParaRPr lang="en-US"/>
          </a:p>
        </c:txPr>
        <c:crossAx val="167290368"/>
        <c:crosses val="autoZero"/>
        <c:crossBetween val="between"/>
      </c:valAx>
      <c:spPr>
        <a:solidFill>
          <a:schemeClr val="bg1">
            <a:lumMod val="75000"/>
          </a:schemeClr>
        </a:solidFill>
      </c:spPr>
    </c:plotArea>
    <c:legend>
      <c:legendPos val="r"/>
      <c:layout>
        <c:manualLayout>
          <c:xMode val="edge"/>
          <c:yMode val="edge"/>
          <c:x val="0.70951268591426075"/>
          <c:y val="0.78857720909886242"/>
          <c:w val="0.25668021641699118"/>
          <c:h val="0.11954083343045994"/>
        </c:manualLayout>
      </c:layout>
      <c:overlay val="0"/>
      <c:txPr>
        <a:bodyPr/>
        <a:lstStyle/>
        <a:p>
          <a:pPr>
            <a:defRPr sz="800" b="1"/>
          </a:pPr>
          <a:endParaRPr lang="en-US"/>
        </a:p>
      </c:txPr>
    </c:legend>
    <c:plotVisOnly val="1"/>
    <c:dispBlanksAs val="gap"/>
    <c:showDLblsOverMax val="0"/>
  </c:chart>
  <c:spPr>
    <a:solidFill>
      <a:schemeClr val="bg1">
        <a:lumMod val="85000"/>
      </a:schemeClr>
    </a:solidFill>
    <a:ln w="38100">
      <a:noFill/>
    </a:ln>
  </c:sp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0.87523</cdr:x>
      <cdr:y>0.5594</cdr:y>
    </cdr:from>
    <cdr:to>
      <cdr:x>0.98716</cdr:x>
      <cdr:y>0.66767</cdr:y>
    </cdr:to>
    <cdr:sp macro="" textlink="">
      <cdr:nvSpPr>
        <cdr:cNvPr id="2" name="TextBox 1"/>
        <cdr:cNvSpPr txBox="1"/>
      </cdr:nvSpPr>
      <cdr:spPr>
        <a:xfrm xmlns:a="http://schemas.openxmlformats.org/drawingml/2006/main">
          <a:off x="4543425" y="1771650"/>
          <a:ext cx="581025" cy="3429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n-TT" sz="1100"/>
        </a:p>
      </cdr:txBody>
    </cdr:sp>
  </cdr:relSizeAnchor>
  <cdr:relSizeAnchor xmlns:cdr="http://schemas.openxmlformats.org/drawingml/2006/chartDrawing">
    <cdr:from>
      <cdr:x>0.03486</cdr:x>
      <cdr:y>0.50226</cdr:y>
    </cdr:from>
    <cdr:to>
      <cdr:x>0.12661</cdr:x>
      <cdr:y>0.58045</cdr:y>
    </cdr:to>
    <cdr:sp macro="" textlink="">
      <cdr:nvSpPr>
        <cdr:cNvPr id="3" name="Rectangle 2"/>
        <cdr:cNvSpPr/>
      </cdr:nvSpPr>
      <cdr:spPr>
        <a:xfrm xmlns:a="http://schemas.openxmlformats.org/drawingml/2006/main">
          <a:off x="180975" y="1590675"/>
          <a:ext cx="476250" cy="247650"/>
        </a:xfrm>
        <a:prstGeom xmlns:a="http://schemas.openxmlformats.org/drawingml/2006/main" prst="rect">
          <a:avLst/>
        </a:prstGeom>
        <a:noFill xmlns:a="http://schemas.openxmlformats.org/drawingml/2006/main"/>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r>
            <a:rPr lang="en-US" sz="800" b="1">
              <a:solidFill>
                <a:sysClr val="windowText" lastClr="000000"/>
              </a:solidFill>
            </a:rPr>
            <a:t>Period</a:t>
          </a:r>
        </a:p>
      </cdr:txBody>
    </cdr:sp>
  </cdr:relSizeAnchor>
  <cdr:relSizeAnchor xmlns:cdr="http://schemas.openxmlformats.org/drawingml/2006/chartDrawing">
    <cdr:from>
      <cdr:x>0</cdr:x>
      <cdr:y>0.18346</cdr:y>
    </cdr:from>
    <cdr:to>
      <cdr:x>0.33394</cdr:x>
      <cdr:y>0.24962</cdr:y>
    </cdr:to>
    <cdr:sp macro="" textlink="">
      <cdr:nvSpPr>
        <cdr:cNvPr id="4" name="Rectangle 3"/>
        <cdr:cNvSpPr/>
      </cdr:nvSpPr>
      <cdr:spPr>
        <a:xfrm xmlns:a="http://schemas.openxmlformats.org/drawingml/2006/main">
          <a:off x="0" y="581025"/>
          <a:ext cx="1733550" cy="209550"/>
        </a:xfrm>
        <a:prstGeom xmlns:a="http://schemas.openxmlformats.org/drawingml/2006/main" prst="rect">
          <a:avLst/>
        </a:prstGeom>
        <a:noFill xmlns:a="http://schemas.openxmlformats.org/drawingml/2006/main"/>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r>
            <a:rPr lang="en-US" sz="800" b="1">
              <a:solidFill>
                <a:sysClr val="windowText" lastClr="000000"/>
              </a:solidFill>
            </a:rPr>
            <a:t>Year on Year % change</a:t>
          </a:r>
        </a:p>
      </cdr:txBody>
    </cdr:sp>
  </cdr:relSizeAnchor>
</c:userShapes>
</file>

<file path=word/drawings/drawing2.xml><?xml version="1.0" encoding="utf-8"?>
<c:userShapes xmlns:c="http://schemas.openxmlformats.org/drawingml/2006/chart">
  <cdr:relSizeAnchor xmlns:cdr="http://schemas.openxmlformats.org/drawingml/2006/chartDrawing">
    <cdr:from>
      <cdr:x>0.02527</cdr:x>
      <cdr:y>0.68813</cdr:y>
    </cdr:from>
    <cdr:to>
      <cdr:x>0.16065</cdr:x>
      <cdr:y>0.75966</cdr:y>
    </cdr:to>
    <cdr:sp macro="" textlink="">
      <cdr:nvSpPr>
        <cdr:cNvPr id="2" name="Rectangle 1"/>
        <cdr:cNvSpPr/>
      </cdr:nvSpPr>
      <cdr:spPr>
        <a:xfrm xmlns:a="http://schemas.openxmlformats.org/drawingml/2006/main">
          <a:off x="133350" y="2290763"/>
          <a:ext cx="714375" cy="238125"/>
        </a:xfrm>
        <a:prstGeom xmlns:a="http://schemas.openxmlformats.org/drawingml/2006/main" prst="rect">
          <a:avLst/>
        </a:prstGeom>
        <a:noFill xmlns:a="http://schemas.openxmlformats.org/drawingml/2006/main"/>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r>
            <a:rPr lang="en-US" sz="1000" b="1">
              <a:solidFill>
                <a:sysClr val="windowText" lastClr="000000"/>
              </a:solidFill>
            </a:rPr>
            <a:t>Period</a:t>
          </a:r>
        </a:p>
      </cdr:txBody>
    </cdr:sp>
  </cdr:relSizeAnchor>
  <cdr:relSizeAnchor xmlns:cdr="http://schemas.openxmlformats.org/drawingml/2006/chartDrawing">
    <cdr:from>
      <cdr:x>0.00782</cdr:x>
      <cdr:y>0.15052</cdr:y>
    </cdr:from>
    <cdr:to>
      <cdr:x>0.3766</cdr:x>
      <cdr:y>0.21788</cdr:y>
    </cdr:to>
    <cdr:sp macro="" textlink="">
      <cdr:nvSpPr>
        <cdr:cNvPr id="3" name="Rectangle 2"/>
        <cdr:cNvSpPr/>
      </cdr:nvSpPr>
      <cdr:spPr>
        <a:xfrm xmlns:a="http://schemas.openxmlformats.org/drawingml/2006/main">
          <a:off x="41275" y="501095"/>
          <a:ext cx="1946000" cy="224216"/>
        </a:xfrm>
        <a:prstGeom xmlns:a="http://schemas.openxmlformats.org/drawingml/2006/main" prst="rect">
          <a:avLst/>
        </a:prstGeom>
        <a:noFill xmlns:a="http://schemas.openxmlformats.org/drawingml/2006/main"/>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r>
            <a:rPr lang="en-US" sz="1000" b="1">
              <a:solidFill>
                <a:sysClr val="windowText" lastClr="000000"/>
              </a:solidFill>
            </a:rPr>
            <a:t>Year on Year % change</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979</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Calvin CJ. James</dc:creator>
  <cp:lastModifiedBy>Calvin CJ. James</cp:lastModifiedBy>
  <cp:revision>2</cp:revision>
  <dcterms:created xsi:type="dcterms:W3CDTF">2014-03-21T02:12:00Z</dcterms:created>
  <dcterms:modified xsi:type="dcterms:W3CDTF">2014-03-21T02:12:00Z</dcterms:modified>
</cp:coreProperties>
</file>