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C5E" w:rsidRDefault="009B799C"/>
    <w:tbl>
      <w:tblPr>
        <w:tblW w:w="9000" w:type="dxa"/>
        <w:jc w:val="center"/>
        <w:tblCellMar>
          <w:left w:w="0" w:type="dxa"/>
          <w:right w:w="0" w:type="dxa"/>
        </w:tblCellMar>
        <w:tblLook w:val="04A0" w:firstRow="1" w:lastRow="0" w:firstColumn="1" w:lastColumn="0" w:noHBand="0" w:noVBand="1"/>
      </w:tblPr>
      <w:tblGrid>
        <w:gridCol w:w="9000"/>
      </w:tblGrid>
      <w:tr w:rsidR="009B799C" w:rsidRPr="009B799C" w:rsidTr="009B799C">
        <w:trPr>
          <w:jc w:val="center"/>
        </w:trPr>
        <w:tc>
          <w:tcPr>
            <w:tcW w:w="0" w:type="auto"/>
            <w:vAlign w:val="center"/>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B799C" w:rsidRPr="009B799C">
              <w:trPr>
                <w:jc w:val="center"/>
              </w:trPr>
              <w:tc>
                <w:tcPr>
                  <w:tcW w:w="0" w:type="auto"/>
                  <w:shd w:val="clear" w:color="auto" w:fill="FFFFFF"/>
                  <w:vAlign w:val="center"/>
                  <w:hideMark/>
                </w:tcPr>
                <w:p w:rsidR="009B799C" w:rsidRPr="009B799C" w:rsidRDefault="009B799C" w:rsidP="009B799C">
                  <w:pPr>
                    <w:spacing w:after="0" w:line="240" w:lineRule="auto"/>
                    <w:rPr>
                      <w:rFonts w:ascii="Times New Roman" w:eastAsia="Times New Roman" w:hAnsi="Times New Roman" w:cs="Times New Roman"/>
                      <w:sz w:val="24"/>
                      <w:szCs w:val="24"/>
                      <w:lang w:eastAsia="en-GB"/>
                    </w:rPr>
                  </w:pPr>
                </w:p>
              </w:tc>
            </w:tr>
          </w:tbl>
          <w:p w:rsidR="009B799C" w:rsidRPr="009B799C" w:rsidRDefault="009B799C" w:rsidP="009B799C">
            <w:pPr>
              <w:spacing w:after="0" w:line="240" w:lineRule="auto"/>
              <w:rPr>
                <w:rFonts w:ascii="Times New Roman" w:eastAsia="Times New Roman" w:hAnsi="Times New Roman" w:cs="Times New Roman"/>
                <w:vanish/>
                <w:sz w:val="24"/>
                <w:szCs w:val="24"/>
                <w:lang w:eastAsia="en-GB"/>
              </w:rPr>
            </w:pPr>
          </w:p>
          <w:tbl>
            <w:tblPr>
              <w:tblW w:w="9000" w:type="dxa"/>
              <w:jc w:val="center"/>
              <w:tblCellMar>
                <w:left w:w="0" w:type="dxa"/>
                <w:right w:w="0" w:type="dxa"/>
              </w:tblCellMar>
              <w:tblLook w:val="04A0" w:firstRow="1" w:lastRow="0" w:firstColumn="1" w:lastColumn="0" w:noHBand="0" w:noVBand="1"/>
            </w:tblPr>
            <w:tblGrid>
              <w:gridCol w:w="9000"/>
            </w:tblGrid>
            <w:tr w:rsidR="009B799C" w:rsidRPr="009B799C">
              <w:trPr>
                <w:jc w:val="center"/>
              </w:trPr>
              <w:tc>
                <w:tcPr>
                  <w:tcW w:w="9000" w:type="dxa"/>
                  <w:hideMark/>
                </w:tcPr>
                <w:tbl>
                  <w:tblPr>
                    <w:tblW w:w="9000" w:type="dxa"/>
                    <w:tblCellMar>
                      <w:top w:w="15" w:type="dxa"/>
                      <w:left w:w="15" w:type="dxa"/>
                      <w:bottom w:w="15" w:type="dxa"/>
                      <w:right w:w="15" w:type="dxa"/>
                    </w:tblCellMar>
                    <w:tblLook w:val="04A0" w:firstRow="1" w:lastRow="0" w:firstColumn="1" w:lastColumn="0" w:noHBand="0" w:noVBand="1"/>
                  </w:tblPr>
                  <w:tblGrid>
                    <w:gridCol w:w="3090"/>
                    <w:gridCol w:w="5910"/>
                  </w:tblGrid>
                  <w:tr w:rsidR="009B799C" w:rsidRPr="009B799C" w:rsidTr="009B799C">
                    <w:tc>
                      <w:tcPr>
                        <w:tcW w:w="3075" w:type="dxa"/>
                        <w:tcMar>
                          <w:top w:w="0" w:type="dxa"/>
                          <w:left w:w="0" w:type="dxa"/>
                          <w:bottom w:w="0" w:type="dxa"/>
                          <w:right w:w="0" w:type="dxa"/>
                        </w:tcMar>
                        <w:vAlign w:val="center"/>
                        <w:hideMark/>
                      </w:tcPr>
                      <w:p w:rsidR="009B799C" w:rsidRPr="009B799C" w:rsidRDefault="009B799C" w:rsidP="009B799C">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952625" cy="752475"/>
                              <wp:effectExtent l="0" t="0" r="9525" b="9525"/>
                              <wp:docPr id="3" name="Picture 3" descr="http://humidtropics.cgiar.org/wp-content/uploads/2012/11/CGIAR-Research-Program-on-Integrated-Systems-for-the-Humid-Tropics-green-logo-600x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umidtropics.cgiar.org/wp-content/uploads/2012/11/CGIAR-Research-Program-on-Integrated-Systems-for-the-Humid-Tropics-green-logo-600x23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52625" cy="752475"/>
                                      </a:xfrm>
                                      <a:prstGeom prst="rect">
                                        <a:avLst/>
                                      </a:prstGeom>
                                      <a:noFill/>
                                      <a:ln>
                                        <a:noFill/>
                                      </a:ln>
                                    </pic:spPr>
                                  </pic:pic>
                                </a:graphicData>
                              </a:graphic>
                            </wp:inline>
                          </w:drawing>
                        </w:r>
                      </w:p>
                    </w:tc>
                    <w:tc>
                      <w:tcPr>
                        <w:tcW w:w="5925" w:type="dxa"/>
                        <w:tcMar>
                          <w:top w:w="0" w:type="dxa"/>
                          <w:left w:w="0" w:type="dxa"/>
                          <w:bottom w:w="0" w:type="dxa"/>
                          <w:right w:w="0" w:type="dxa"/>
                        </w:tcMar>
                        <w:vAlign w:val="center"/>
                        <w:hideMark/>
                      </w:tcPr>
                      <w:p w:rsidR="009B799C" w:rsidRPr="009B799C" w:rsidRDefault="009B799C" w:rsidP="009B799C">
                        <w:pPr>
                          <w:spacing w:after="0" w:line="240" w:lineRule="auto"/>
                          <w:rPr>
                            <w:rFonts w:ascii="Times New Roman" w:eastAsia="Times New Roman" w:hAnsi="Times New Roman" w:cs="Times New Roman"/>
                            <w:sz w:val="24"/>
                            <w:szCs w:val="24"/>
                            <w:lang w:eastAsia="en-GB"/>
                          </w:rPr>
                        </w:pPr>
                        <w:r w:rsidRPr="009B799C">
                          <w:rPr>
                            <w:rFonts w:ascii="Times New Roman" w:eastAsia="Times New Roman" w:hAnsi="Times New Roman" w:cs="Times New Roman"/>
                            <w:sz w:val="24"/>
                            <w:szCs w:val="24"/>
                            <w:lang w:eastAsia="en-GB"/>
                          </w:rPr>
                          <w:t> </w:t>
                        </w:r>
                      </w:p>
                    </w:tc>
                  </w:tr>
                </w:tbl>
                <w:p w:rsidR="009B799C" w:rsidRPr="009B799C" w:rsidRDefault="009B799C" w:rsidP="009B799C">
                  <w:pPr>
                    <w:spacing w:after="0" w:line="240" w:lineRule="auto"/>
                    <w:rPr>
                      <w:rFonts w:ascii="Times New Roman" w:eastAsia="Times New Roman" w:hAnsi="Times New Roman" w:cs="Times New Roman"/>
                      <w:sz w:val="24"/>
                      <w:szCs w:val="24"/>
                      <w:lang w:eastAsia="en-GB"/>
                    </w:rPr>
                  </w:pPr>
                </w:p>
              </w:tc>
            </w:tr>
          </w:tbl>
          <w:p w:rsidR="009B799C" w:rsidRPr="009B799C" w:rsidRDefault="009B799C" w:rsidP="009B799C">
            <w:pPr>
              <w:spacing w:after="0" w:line="240" w:lineRule="auto"/>
              <w:rPr>
                <w:rFonts w:ascii="Times New Roman" w:eastAsia="Times New Roman" w:hAnsi="Times New Roman" w:cs="Times New Roman"/>
                <w:vanish/>
                <w:sz w:val="24"/>
                <w:szCs w:val="24"/>
                <w:lang w:eastAsia="en-GB"/>
              </w:rPr>
            </w:pPr>
          </w:p>
          <w:tbl>
            <w:tblPr>
              <w:tblW w:w="9000" w:type="dxa"/>
              <w:jc w:val="center"/>
              <w:tblCellMar>
                <w:left w:w="0" w:type="dxa"/>
                <w:right w:w="0" w:type="dxa"/>
              </w:tblCellMar>
              <w:tblLook w:val="04A0" w:firstRow="1" w:lastRow="0" w:firstColumn="1" w:lastColumn="0" w:noHBand="0" w:noVBand="1"/>
            </w:tblPr>
            <w:tblGrid>
              <w:gridCol w:w="9000"/>
            </w:tblGrid>
            <w:tr w:rsidR="009B799C" w:rsidRPr="009B799C">
              <w:trPr>
                <w:jc w:val="center"/>
              </w:trPr>
              <w:tc>
                <w:tcPr>
                  <w:tcW w:w="9000" w:type="dxa"/>
                  <w:hideMark/>
                </w:tcPr>
                <w:tbl>
                  <w:tblPr>
                    <w:tblW w:w="9000" w:type="dxa"/>
                    <w:tblCellMar>
                      <w:top w:w="15" w:type="dxa"/>
                      <w:left w:w="15" w:type="dxa"/>
                      <w:bottom w:w="15" w:type="dxa"/>
                      <w:right w:w="15" w:type="dxa"/>
                    </w:tblCellMar>
                    <w:tblLook w:val="04A0" w:firstRow="1" w:lastRow="0" w:firstColumn="1" w:lastColumn="0" w:noHBand="0" w:noVBand="1"/>
                  </w:tblPr>
                  <w:tblGrid>
                    <w:gridCol w:w="9000"/>
                  </w:tblGrid>
                  <w:tr w:rsidR="009B799C" w:rsidRPr="009B799C" w:rsidTr="009B799C">
                    <w:tc>
                      <w:tcPr>
                        <w:tcW w:w="9000" w:type="dxa"/>
                        <w:tcMar>
                          <w:top w:w="150" w:type="dxa"/>
                          <w:left w:w="270" w:type="dxa"/>
                          <w:bottom w:w="150" w:type="dxa"/>
                          <w:right w:w="270" w:type="dxa"/>
                        </w:tcMar>
                        <w:vAlign w:val="center"/>
                        <w:hideMark/>
                      </w:tcPr>
                      <w:p w:rsidR="009B799C" w:rsidRPr="009B799C" w:rsidRDefault="009B799C" w:rsidP="009B799C">
                        <w:pPr>
                          <w:spacing w:after="150" w:line="264" w:lineRule="atLeast"/>
                          <w:jc w:val="center"/>
                          <w:outlineLvl w:val="2"/>
                          <w:rPr>
                            <w:rFonts w:ascii="Arial" w:eastAsia="Times New Roman" w:hAnsi="Arial" w:cs="Arial"/>
                            <w:sz w:val="36"/>
                            <w:szCs w:val="36"/>
                            <w:lang w:eastAsia="en-GB"/>
                          </w:rPr>
                        </w:pPr>
                        <w:proofErr w:type="spellStart"/>
                        <w:r w:rsidRPr="009B799C">
                          <w:rPr>
                            <w:rFonts w:ascii="Arial" w:eastAsia="Times New Roman" w:hAnsi="Arial" w:cs="Arial"/>
                            <w:b/>
                            <w:bCs/>
                            <w:sz w:val="36"/>
                            <w:szCs w:val="36"/>
                            <w:u w:val="single"/>
                            <w:lang w:eastAsia="en-GB"/>
                          </w:rPr>
                          <w:t>Humidtropics</w:t>
                        </w:r>
                        <w:proofErr w:type="spellEnd"/>
                        <w:r w:rsidRPr="009B799C">
                          <w:rPr>
                            <w:rFonts w:ascii="Arial" w:eastAsia="Times New Roman" w:hAnsi="Arial" w:cs="Arial"/>
                            <w:b/>
                            <w:bCs/>
                            <w:sz w:val="36"/>
                            <w:szCs w:val="36"/>
                            <w:u w:val="single"/>
                            <w:lang w:eastAsia="en-GB"/>
                          </w:rPr>
                          <w:t xml:space="preserve"> International Conference</w:t>
                        </w:r>
                        <w:r w:rsidRPr="009B799C">
                          <w:rPr>
                            <w:rFonts w:ascii="Arial" w:eastAsia="Times New Roman" w:hAnsi="Arial" w:cs="Arial"/>
                            <w:b/>
                            <w:bCs/>
                            <w:sz w:val="20"/>
                            <w:szCs w:val="20"/>
                            <w:lang w:eastAsia="en-GB"/>
                          </w:rPr>
                          <w:t> </w:t>
                        </w:r>
                      </w:p>
                      <w:p w:rsidR="009B799C" w:rsidRPr="009B799C" w:rsidRDefault="009B799C" w:rsidP="009B799C">
                        <w:pPr>
                          <w:spacing w:after="150" w:line="312" w:lineRule="atLeast"/>
                          <w:jc w:val="center"/>
                          <w:outlineLvl w:val="0"/>
                          <w:rPr>
                            <w:rFonts w:ascii="Arial" w:eastAsia="Times New Roman" w:hAnsi="Arial" w:cs="Arial"/>
                            <w:kern w:val="36"/>
                            <w:sz w:val="42"/>
                            <w:szCs w:val="42"/>
                            <w:lang w:eastAsia="en-GB"/>
                          </w:rPr>
                        </w:pPr>
                        <w:r w:rsidRPr="009B799C">
                          <w:rPr>
                            <w:rFonts w:ascii="Arial" w:eastAsia="Times New Roman" w:hAnsi="Arial" w:cs="Arial"/>
                            <w:b/>
                            <w:bCs/>
                            <w:kern w:val="36"/>
                            <w:sz w:val="42"/>
                            <w:szCs w:val="42"/>
                            <w:lang w:eastAsia="en-GB"/>
                          </w:rPr>
                          <w:t>Systems Research for Sustainable Intensification in Smallholder Agriculture</w:t>
                        </w:r>
                      </w:p>
                    </w:tc>
                  </w:tr>
                  <w:tr w:rsidR="009B799C" w:rsidRPr="009B799C">
                    <w:tc>
                      <w:tcPr>
                        <w:tcW w:w="9000" w:type="dxa"/>
                        <w:tcMar>
                          <w:top w:w="150" w:type="dxa"/>
                          <w:left w:w="270" w:type="dxa"/>
                          <w:bottom w:w="150" w:type="dxa"/>
                          <w:right w:w="270" w:type="dxa"/>
                        </w:tcMar>
                        <w:vAlign w:val="center"/>
                        <w:hideMark/>
                      </w:tcPr>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 xml:space="preserve">We are happy to announce the first </w:t>
                        </w:r>
                        <w:proofErr w:type="spellStart"/>
                        <w:r w:rsidRPr="009B799C">
                          <w:rPr>
                            <w:rFonts w:ascii="Arial" w:eastAsia="Times New Roman" w:hAnsi="Arial" w:cs="Arial"/>
                            <w:sz w:val="20"/>
                            <w:szCs w:val="20"/>
                            <w:lang w:eastAsia="en-GB"/>
                          </w:rPr>
                          <w:t>Humidtropics</w:t>
                        </w:r>
                        <w:proofErr w:type="spellEnd"/>
                        <w:r w:rsidRPr="009B799C">
                          <w:rPr>
                            <w:rFonts w:ascii="Arial" w:eastAsia="Times New Roman" w:hAnsi="Arial" w:cs="Arial"/>
                            <w:sz w:val="20"/>
                            <w:szCs w:val="20"/>
                            <w:lang w:eastAsia="en-GB"/>
                          </w:rPr>
                          <w:t xml:space="preserve"> International Conference on Integrated Systems Research. Entitled </w:t>
                        </w:r>
                        <w:r w:rsidRPr="009B799C">
                          <w:rPr>
                            <w:rFonts w:ascii="Arial" w:eastAsia="Times New Roman" w:hAnsi="Arial" w:cs="Arial"/>
                            <w:b/>
                            <w:bCs/>
                            <w:sz w:val="20"/>
                            <w:szCs w:val="20"/>
                            <w:lang w:eastAsia="en-GB"/>
                          </w:rPr>
                          <w:t>Systems Research for Sustainable Intensification in Smallholder Agriculture</w:t>
                        </w:r>
                        <w:r w:rsidRPr="009B799C">
                          <w:rPr>
                            <w:rFonts w:ascii="Arial" w:eastAsia="Times New Roman" w:hAnsi="Arial" w:cs="Arial"/>
                            <w:sz w:val="20"/>
                            <w:szCs w:val="20"/>
                            <w:lang w:eastAsia="en-GB"/>
                          </w:rPr>
                          <w:t xml:space="preserve">, the conference will take place at the Conference </w:t>
                        </w:r>
                        <w:proofErr w:type="spellStart"/>
                        <w:r w:rsidRPr="009B799C">
                          <w:rPr>
                            <w:rFonts w:ascii="Arial" w:eastAsia="Times New Roman" w:hAnsi="Arial" w:cs="Arial"/>
                            <w:sz w:val="20"/>
                            <w:szCs w:val="20"/>
                            <w:lang w:eastAsia="en-GB"/>
                          </w:rPr>
                          <w:t>Center</w:t>
                        </w:r>
                        <w:proofErr w:type="spellEnd"/>
                        <w:r w:rsidRPr="009B799C">
                          <w:rPr>
                            <w:rFonts w:ascii="Arial" w:eastAsia="Times New Roman" w:hAnsi="Arial" w:cs="Arial"/>
                            <w:sz w:val="20"/>
                            <w:szCs w:val="20"/>
                            <w:lang w:eastAsia="en-GB"/>
                          </w:rPr>
                          <w:t xml:space="preserve"> of the International Institute of Tropical Agriculture (IITA), in Ibadan, Nigeria, from October 7 to 10, 2014.</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b/>
                            <w:bCs/>
                            <w:sz w:val="20"/>
                            <w:szCs w:val="20"/>
                            <w:lang w:eastAsia="en-GB"/>
                          </w:rPr>
                          <w:t>Theme</w:t>
                        </w:r>
                        <w:r w:rsidRPr="009B799C">
                          <w:rPr>
                            <w:rFonts w:ascii="Arial" w:eastAsia="Times New Roman" w:hAnsi="Arial" w:cs="Arial"/>
                            <w:sz w:val="20"/>
                            <w:szCs w:val="20"/>
                            <w:lang w:eastAsia="en-GB"/>
                          </w:rPr>
                          <w:t>: The Role of Systems Research in Sustainable Intensification</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b/>
                            <w:bCs/>
                            <w:sz w:val="20"/>
                            <w:szCs w:val="20"/>
                            <w:lang w:eastAsia="en-GB"/>
                          </w:rPr>
                          <w:t>Core questions </w:t>
                        </w:r>
                        <w:r w:rsidRPr="009B799C">
                          <w:rPr>
                            <w:rFonts w:ascii="Arial" w:eastAsia="Times New Roman" w:hAnsi="Arial" w:cs="Arial"/>
                            <w:sz w:val="20"/>
                            <w:szCs w:val="20"/>
                            <w:lang w:eastAsia="en-GB"/>
                          </w:rPr>
                          <w:t>to be addressed include:</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What is sustainable intensification in the context of smallholder agriculture in the developing world?</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What is systems research and how does it result in or contribute to development outcomes?</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What is the evidence for scientific underpinnings of systems research?</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What role do development partners, farmer organizations and non-governmental agencies play in systems research and its link towards development?</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How practical are R4D (Research for Development) and Innovation Platforms as mechanisms for building and implementing partnerships and participatory approaches for systems research?</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How is gender, including the dimensions of women, men and youth, addressed to optimise effectiveness and efficiency in agricultural systems research for development?</w:t>
                        </w:r>
                      </w:p>
                      <w:p w:rsidR="009B799C" w:rsidRPr="009B799C" w:rsidRDefault="009B799C" w:rsidP="009B799C">
                        <w:pPr>
                          <w:numPr>
                            <w:ilvl w:val="0"/>
                            <w:numId w:val="1"/>
                          </w:numPr>
                          <w:spacing w:after="168" w:line="360" w:lineRule="atLeast"/>
                          <w:ind w:left="450"/>
                          <w:rPr>
                            <w:rFonts w:ascii="Arial" w:eastAsia="Times New Roman" w:hAnsi="Arial" w:cs="Arial"/>
                            <w:sz w:val="20"/>
                            <w:szCs w:val="20"/>
                            <w:lang w:eastAsia="en-GB"/>
                          </w:rPr>
                        </w:pPr>
                        <w:r w:rsidRPr="009B799C">
                          <w:rPr>
                            <w:rFonts w:ascii="Arial" w:eastAsia="Times New Roman" w:hAnsi="Arial" w:cs="Arial"/>
                            <w:sz w:val="20"/>
                            <w:szCs w:val="20"/>
                            <w:lang w:eastAsia="en-GB"/>
                          </w:rPr>
                          <w:t>What are the policy dimensions that are related to sustainable intensification and systems research, and how may these be leveraged to strengthen the development outcomes of research?</w:t>
                        </w:r>
                      </w:p>
                      <w:p w:rsidR="009B799C" w:rsidRPr="009B799C" w:rsidRDefault="009B799C" w:rsidP="009B799C">
                        <w:pPr>
                          <w:spacing w:before="100" w:beforeAutospacing="1" w:after="100" w:afterAutospacing="1" w:line="285" w:lineRule="atLeast"/>
                          <w:rPr>
                            <w:rFonts w:ascii="Times New Roman" w:eastAsia="Times New Roman" w:hAnsi="Times New Roman" w:cs="Times New Roman"/>
                            <w:sz w:val="24"/>
                            <w:szCs w:val="24"/>
                            <w:lang w:eastAsia="en-GB"/>
                          </w:rPr>
                        </w:pPr>
                        <w:r w:rsidRPr="009B799C">
                          <w:rPr>
                            <w:rFonts w:ascii="Times New Roman" w:eastAsia="Times New Roman" w:hAnsi="Times New Roman" w:cs="Times New Roman"/>
                            <w:sz w:val="24"/>
                            <w:szCs w:val="24"/>
                            <w:lang w:eastAsia="en-GB"/>
                          </w:rPr>
                          <w:lastRenderedPageBreak/>
                          <w:t xml:space="preserve">The conference will attempt to deal with major components within systems research in agriculture, using the strategic research theme framework of </w:t>
                        </w:r>
                        <w:proofErr w:type="spellStart"/>
                        <w:r w:rsidRPr="009B799C">
                          <w:rPr>
                            <w:rFonts w:ascii="Times New Roman" w:eastAsia="Times New Roman" w:hAnsi="Times New Roman" w:cs="Times New Roman"/>
                            <w:sz w:val="24"/>
                            <w:szCs w:val="24"/>
                            <w:lang w:eastAsia="en-GB"/>
                          </w:rPr>
                          <w:t>Humidtropics</w:t>
                        </w:r>
                        <w:proofErr w:type="spellEnd"/>
                        <w:r w:rsidRPr="009B799C">
                          <w:rPr>
                            <w:rFonts w:ascii="Times New Roman" w:eastAsia="Times New Roman" w:hAnsi="Times New Roman" w:cs="Times New Roman"/>
                            <w:sz w:val="24"/>
                            <w:szCs w:val="24"/>
                            <w:lang w:eastAsia="en-GB"/>
                          </w:rPr>
                          <w:t xml:space="preserve"> as a guide. The emphasis will be on RESULTS: data, methods and lessons learnt.</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The call for papers and posters, as well as preliminary conference information are now available at </w:t>
                        </w:r>
                        <w:hyperlink r:id="rId7" w:history="1">
                          <w:r w:rsidRPr="009B799C">
                            <w:rPr>
                              <w:rFonts w:ascii="Arial" w:eastAsia="Times New Roman" w:hAnsi="Arial" w:cs="Arial"/>
                              <w:color w:val="0000FF"/>
                              <w:sz w:val="20"/>
                              <w:szCs w:val="20"/>
                              <w:bdr w:val="none" w:sz="0" w:space="0" w:color="auto" w:frame="1"/>
                              <w:lang w:eastAsia="en-GB"/>
                            </w:rPr>
                            <w:t>http://humidtropics.cgiar.org/events/humidtropics-2014-science-conference</w:t>
                          </w:r>
                        </w:hyperlink>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The deadline for submission of your abstract(s) is June 1, 2014. There will be no extension of this submission deadline. The conference language is English and high quality abstracts of original research (250-350 words) are invited to be submitted using the online form at </w:t>
                        </w:r>
                        <w:hyperlink r:id="rId8" w:history="1">
                          <w:r w:rsidRPr="009B799C">
                            <w:rPr>
                              <w:rFonts w:ascii="Arial" w:eastAsia="Times New Roman" w:hAnsi="Arial" w:cs="Arial"/>
                              <w:color w:val="0000FF"/>
                              <w:sz w:val="20"/>
                              <w:szCs w:val="20"/>
                              <w:bdr w:val="none" w:sz="0" w:space="0" w:color="auto" w:frame="1"/>
                              <w:lang w:eastAsia="en-GB"/>
                            </w:rPr>
                            <w:t>http://humidtropics.cgiar.org/conference1/submission</w:t>
                          </w:r>
                        </w:hyperlink>
                        <w:r w:rsidRPr="009B799C">
                          <w:rPr>
                            <w:rFonts w:ascii="Arial" w:eastAsia="Times New Roman" w:hAnsi="Arial" w:cs="Arial"/>
                            <w:sz w:val="20"/>
                            <w:szCs w:val="20"/>
                            <w:lang w:eastAsia="en-GB"/>
                          </w:rPr>
                          <w:t xml:space="preserve"> (available until June 1, 2014).</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Based on the quality of the submission, reviewers will decide upon the suitability of the contribution for presentation at the conference. Contributions of an interdisciplinary nature will be preferentially selected as oral presentation and we encourage younger scientists to make submissions. Poster contributions will be grouped into thematic clusters and will be addressed in guided poster sessions. Notifications of acceptance will be sent on July 15, 2014.</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 xml:space="preserve">All accepted contributions, both oral and poster, will be published in the conference proceedings and on the </w:t>
                        </w:r>
                        <w:proofErr w:type="spellStart"/>
                        <w:r w:rsidRPr="009B799C">
                          <w:rPr>
                            <w:rFonts w:ascii="Arial" w:eastAsia="Times New Roman" w:hAnsi="Arial" w:cs="Arial"/>
                            <w:sz w:val="20"/>
                            <w:szCs w:val="20"/>
                            <w:lang w:eastAsia="en-GB"/>
                          </w:rPr>
                          <w:t>Humidtropics</w:t>
                        </w:r>
                        <w:proofErr w:type="spellEnd"/>
                        <w:r w:rsidRPr="009B799C">
                          <w:rPr>
                            <w:rFonts w:ascii="Arial" w:eastAsia="Times New Roman" w:hAnsi="Arial" w:cs="Arial"/>
                            <w:sz w:val="20"/>
                            <w:szCs w:val="20"/>
                            <w:lang w:eastAsia="en-GB"/>
                          </w:rPr>
                          <w:t xml:space="preserve"> website. Additionally, selected papers will be published as a special edition of a peer-reviewed journal. The authors are required to submit the full paper by September 15, 2014, for initial analysis and review. </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For more information please download the full conference details: </w:t>
                        </w:r>
                        <w:r>
                          <w:rPr>
                            <w:rFonts w:ascii="Arial" w:eastAsia="Times New Roman" w:hAnsi="Arial" w:cs="Arial"/>
                            <w:noProof/>
                            <w:color w:val="0000FF"/>
                            <w:sz w:val="20"/>
                            <w:szCs w:val="20"/>
                            <w:bdr w:val="none" w:sz="0" w:space="0" w:color="auto" w:frame="1"/>
                            <w:lang w:eastAsia="en-GB"/>
                          </w:rPr>
                          <w:drawing>
                            <wp:inline distT="0" distB="0" distL="0" distR="0">
                              <wp:extent cx="285750" cy="238125"/>
                              <wp:effectExtent l="0" t="0" r="0" b="9525"/>
                              <wp:docPr id="2" name="Picture 2" descr="Conference Announcement">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ference Announcement">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Registration information for the conference is found at </w:t>
                        </w:r>
                        <w:hyperlink r:id="rId11" w:history="1">
                          <w:r w:rsidRPr="009B799C">
                            <w:rPr>
                              <w:rFonts w:ascii="Arial" w:eastAsia="Times New Roman" w:hAnsi="Arial" w:cs="Arial"/>
                              <w:color w:val="0000FF"/>
                              <w:sz w:val="20"/>
                              <w:szCs w:val="20"/>
                              <w:bdr w:val="none" w:sz="0" w:space="0" w:color="auto" w:frame="1"/>
                              <w:lang w:eastAsia="en-GB"/>
                            </w:rPr>
                            <w:t>http://humidtropics.cgiar.org/conference1/registration</w:t>
                          </w:r>
                        </w:hyperlink>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 xml:space="preserve">On behalf of the local organizing committee, we are looking forward to your contribution and to welcoming you to the </w:t>
                        </w:r>
                        <w:proofErr w:type="spellStart"/>
                        <w:r w:rsidRPr="009B799C">
                          <w:rPr>
                            <w:rFonts w:ascii="Arial" w:eastAsia="Times New Roman" w:hAnsi="Arial" w:cs="Arial"/>
                            <w:sz w:val="20"/>
                            <w:szCs w:val="20"/>
                            <w:lang w:eastAsia="en-GB"/>
                          </w:rPr>
                          <w:t>Humidtropics</w:t>
                        </w:r>
                        <w:proofErr w:type="spellEnd"/>
                        <w:r w:rsidRPr="009B799C">
                          <w:rPr>
                            <w:rFonts w:ascii="Arial" w:eastAsia="Times New Roman" w:hAnsi="Arial" w:cs="Arial"/>
                            <w:sz w:val="20"/>
                            <w:szCs w:val="20"/>
                            <w:lang w:eastAsia="en-GB"/>
                          </w:rPr>
                          <w:t xml:space="preserve"> International Conference!</w:t>
                        </w:r>
                      </w:p>
                    </w:tc>
                  </w:tr>
                </w:tbl>
                <w:p w:rsidR="009B799C" w:rsidRPr="009B799C" w:rsidRDefault="009B799C" w:rsidP="009B799C">
                  <w:pPr>
                    <w:spacing w:after="0" w:line="240" w:lineRule="auto"/>
                    <w:rPr>
                      <w:rFonts w:ascii="Times New Roman" w:eastAsia="Times New Roman" w:hAnsi="Times New Roman" w:cs="Times New Roman"/>
                      <w:vanish/>
                      <w:sz w:val="24"/>
                      <w:szCs w:val="24"/>
                      <w:lang w:eastAsia="en-GB"/>
                    </w:rPr>
                  </w:pPr>
                </w:p>
                <w:tbl>
                  <w:tblPr>
                    <w:tblW w:w="9000" w:type="dxa"/>
                    <w:tblCellMar>
                      <w:top w:w="15" w:type="dxa"/>
                      <w:left w:w="15" w:type="dxa"/>
                      <w:bottom w:w="15" w:type="dxa"/>
                      <w:right w:w="15" w:type="dxa"/>
                    </w:tblCellMar>
                    <w:tblLook w:val="04A0" w:firstRow="1" w:lastRow="0" w:firstColumn="1" w:lastColumn="0" w:noHBand="0" w:noVBand="1"/>
                  </w:tblPr>
                  <w:tblGrid>
                    <w:gridCol w:w="9000"/>
                  </w:tblGrid>
                  <w:tr w:rsidR="009B799C" w:rsidRPr="009B799C" w:rsidTr="009B799C">
                    <w:tc>
                      <w:tcPr>
                        <w:tcW w:w="9000" w:type="dxa"/>
                        <w:tcMar>
                          <w:top w:w="150" w:type="dxa"/>
                          <w:left w:w="270" w:type="dxa"/>
                          <w:bottom w:w="150" w:type="dxa"/>
                          <w:right w:w="270" w:type="dxa"/>
                        </w:tcMar>
                        <w:vAlign w:val="center"/>
                        <w:hideMark/>
                      </w:tcPr>
                      <w:tbl>
                        <w:tblPr>
                          <w:tblpPr w:vertAnchor="text" w:tblpXSpec="right" w:tblpYSpec="center"/>
                          <w:tblW w:w="0" w:type="auto"/>
                          <w:tblCellMar>
                            <w:left w:w="0" w:type="dxa"/>
                            <w:right w:w="0" w:type="dxa"/>
                          </w:tblCellMar>
                          <w:tblLook w:val="04A0" w:firstRow="1" w:lastRow="0" w:firstColumn="1" w:lastColumn="0" w:noHBand="0" w:noVBand="1"/>
                        </w:tblPr>
                        <w:tblGrid>
                          <w:gridCol w:w="4950"/>
                        </w:tblGrid>
                        <w:tr w:rsidR="009B799C" w:rsidRPr="009B799C" w:rsidTr="009B799C">
                          <w:trPr>
                            <w:trHeight w:val="1065"/>
                          </w:trPr>
                          <w:tc>
                            <w:tcPr>
                              <w:tcW w:w="4950" w:type="dxa"/>
                              <w:hideMark/>
                            </w:tcPr>
                            <w:p w:rsidR="009B799C" w:rsidRPr="009B799C" w:rsidRDefault="009B799C" w:rsidP="009B799C">
                              <w:pPr>
                                <w:spacing w:after="0" w:line="240" w:lineRule="auto"/>
                                <w:jc w:val="right"/>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3019425" cy="647700"/>
                                    <wp:effectExtent l="0" t="0" r="9525" b="0"/>
                                    <wp:docPr id="1" name="Picture 1" descr="http://humidtropics.cgiar.org/wp-content/uploads/2012/11/Screenshot-2014-03-07-14.3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umidtropics.cgiar.org/wp-content/uploads/2012/11/Screenshot-2014-03-07-14.33.2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9425" cy="647700"/>
                                            </a:xfrm>
                                            <a:prstGeom prst="rect">
                                              <a:avLst/>
                                            </a:prstGeom>
                                            <a:noFill/>
                                            <a:ln>
                                              <a:noFill/>
                                            </a:ln>
                                          </pic:spPr>
                                        </pic:pic>
                                      </a:graphicData>
                                    </a:graphic>
                                  </wp:inline>
                                </w:drawing>
                              </w:r>
                            </w:p>
                          </w:tc>
                        </w:tr>
                      </w:tbl>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 xml:space="preserve">The conference is organized in collaboration with the CGIAR Research Programs on </w:t>
                        </w:r>
                        <w:proofErr w:type="spellStart"/>
                        <w:r w:rsidRPr="009B799C">
                          <w:rPr>
                            <w:rFonts w:ascii="Arial" w:eastAsia="Times New Roman" w:hAnsi="Arial" w:cs="Arial"/>
                            <w:sz w:val="20"/>
                            <w:szCs w:val="20"/>
                            <w:lang w:eastAsia="en-GB"/>
                          </w:rPr>
                          <w:t>Dryland</w:t>
                        </w:r>
                        <w:proofErr w:type="spellEnd"/>
                        <w:r w:rsidRPr="009B799C">
                          <w:rPr>
                            <w:rFonts w:ascii="Arial" w:eastAsia="Times New Roman" w:hAnsi="Arial" w:cs="Arial"/>
                            <w:sz w:val="20"/>
                            <w:szCs w:val="20"/>
                            <w:lang w:eastAsia="en-GB"/>
                          </w:rPr>
                          <w:t xml:space="preserve"> Systems, and on Aquatic Agricultural Systems.</w:t>
                        </w:r>
                      </w:p>
                      <w:p w:rsidR="009B799C" w:rsidRPr="009B799C" w:rsidRDefault="009B799C" w:rsidP="009B799C">
                        <w:pPr>
                          <w:spacing w:after="240" w:line="360" w:lineRule="atLeast"/>
                          <w:textAlignment w:val="top"/>
                          <w:rPr>
                            <w:rFonts w:ascii="Arial" w:eastAsia="Times New Roman" w:hAnsi="Arial" w:cs="Arial"/>
                            <w:sz w:val="20"/>
                            <w:szCs w:val="20"/>
                            <w:lang w:eastAsia="en-GB"/>
                          </w:rPr>
                        </w:pPr>
                        <w:r w:rsidRPr="009B799C">
                          <w:rPr>
                            <w:rFonts w:ascii="Arial" w:eastAsia="Times New Roman" w:hAnsi="Arial" w:cs="Arial"/>
                            <w:sz w:val="20"/>
                            <w:szCs w:val="20"/>
                            <w:lang w:eastAsia="en-GB"/>
                          </w:rPr>
                          <w:t xml:space="preserve">Organizing partners: IITA, ICRAF, ILRI, CIAT, </w:t>
                        </w:r>
                        <w:proofErr w:type="spellStart"/>
                        <w:r w:rsidRPr="009B799C">
                          <w:rPr>
                            <w:rFonts w:ascii="Arial" w:eastAsia="Times New Roman" w:hAnsi="Arial" w:cs="Arial"/>
                            <w:sz w:val="20"/>
                            <w:szCs w:val="20"/>
                            <w:lang w:eastAsia="en-GB"/>
                          </w:rPr>
                          <w:t>Bioversity</w:t>
                        </w:r>
                        <w:proofErr w:type="spellEnd"/>
                        <w:r w:rsidRPr="009B799C">
                          <w:rPr>
                            <w:rFonts w:ascii="Arial" w:eastAsia="Times New Roman" w:hAnsi="Arial" w:cs="Arial"/>
                            <w:sz w:val="20"/>
                            <w:szCs w:val="20"/>
                            <w:lang w:eastAsia="en-GB"/>
                          </w:rPr>
                          <w:t xml:space="preserve">, IWMI, CIP, AVRDC, </w:t>
                        </w:r>
                        <w:proofErr w:type="spellStart"/>
                        <w:r w:rsidRPr="009B799C">
                          <w:rPr>
                            <w:rFonts w:ascii="Arial" w:eastAsia="Times New Roman" w:hAnsi="Arial" w:cs="Arial"/>
                            <w:sz w:val="20"/>
                            <w:szCs w:val="20"/>
                            <w:lang w:eastAsia="en-GB"/>
                          </w:rPr>
                          <w:t>Wageningen</w:t>
                        </w:r>
                        <w:proofErr w:type="spellEnd"/>
                        <w:r w:rsidRPr="009B799C">
                          <w:rPr>
                            <w:rFonts w:ascii="Arial" w:eastAsia="Times New Roman" w:hAnsi="Arial" w:cs="Arial"/>
                            <w:sz w:val="20"/>
                            <w:szCs w:val="20"/>
                            <w:lang w:eastAsia="en-GB"/>
                          </w:rPr>
                          <w:t xml:space="preserve"> University, </w:t>
                        </w:r>
                        <w:proofErr w:type="spellStart"/>
                        <w:r w:rsidRPr="009B799C">
                          <w:rPr>
                            <w:rFonts w:ascii="Arial" w:eastAsia="Times New Roman" w:hAnsi="Arial" w:cs="Arial"/>
                            <w:sz w:val="20"/>
                            <w:szCs w:val="20"/>
                            <w:lang w:eastAsia="en-GB"/>
                          </w:rPr>
                          <w:t>icipe</w:t>
                        </w:r>
                        <w:proofErr w:type="spellEnd"/>
                        <w:r w:rsidRPr="009B799C">
                          <w:rPr>
                            <w:rFonts w:ascii="Arial" w:eastAsia="Times New Roman" w:hAnsi="Arial" w:cs="Arial"/>
                            <w:sz w:val="20"/>
                            <w:szCs w:val="20"/>
                            <w:lang w:eastAsia="en-GB"/>
                          </w:rPr>
                          <w:t>, FARA.</w:t>
                        </w:r>
                      </w:p>
                    </w:tc>
                  </w:tr>
                </w:tbl>
                <w:p w:rsidR="009B799C" w:rsidRPr="009B799C" w:rsidRDefault="009B799C" w:rsidP="009B799C">
                  <w:pPr>
                    <w:spacing w:after="0" w:line="240" w:lineRule="auto"/>
                    <w:rPr>
                      <w:rFonts w:ascii="Times New Roman" w:eastAsia="Times New Roman" w:hAnsi="Times New Roman" w:cs="Times New Roman"/>
                      <w:sz w:val="24"/>
                      <w:szCs w:val="24"/>
                      <w:lang w:eastAsia="en-GB"/>
                    </w:rPr>
                  </w:pPr>
                </w:p>
              </w:tc>
            </w:tr>
          </w:tbl>
          <w:p w:rsidR="009B799C" w:rsidRPr="009B799C" w:rsidRDefault="009B799C" w:rsidP="009B799C">
            <w:pPr>
              <w:spacing w:after="0" w:line="240" w:lineRule="auto"/>
              <w:rPr>
                <w:rFonts w:ascii="Times New Roman" w:eastAsia="Times New Roman" w:hAnsi="Times New Roman" w:cs="Times New Roman"/>
                <w:vanish/>
                <w:sz w:val="24"/>
                <w:szCs w:val="24"/>
                <w:lang w:eastAsia="en-GB"/>
              </w:rPr>
            </w:pPr>
          </w:p>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B799C" w:rsidRPr="009B799C">
              <w:trPr>
                <w:jc w:val="center"/>
              </w:trPr>
              <w:tc>
                <w:tcPr>
                  <w:tcW w:w="0" w:type="auto"/>
                  <w:shd w:val="clear" w:color="auto" w:fill="FFFFFF"/>
                  <w:vAlign w:val="center"/>
                  <w:hideMark/>
                </w:tcPr>
                <w:p w:rsidR="009B799C" w:rsidRPr="009B799C" w:rsidRDefault="009B799C" w:rsidP="009B799C">
                  <w:pPr>
                    <w:spacing w:after="0" w:line="240" w:lineRule="auto"/>
                    <w:rPr>
                      <w:rFonts w:ascii="Times New Roman" w:eastAsia="Times New Roman" w:hAnsi="Times New Roman" w:cs="Times New Roman"/>
                      <w:sz w:val="24"/>
                      <w:szCs w:val="24"/>
                      <w:lang w:eastAsia="en-GB"/>
                    </w:rPr>
                  </w:pPr>
                </w:p>
              </w:tc>
            </w:tr>
          </w:tbl>
          <w:p w:rsidR="009B799C" w:rsidRPr="009B799C" w:rsidRDefault="009B799C" w:rsidP="009B799C">
            <w:pPr>
              <w:spacing w:after="0" w:line="240" w:lineRule="auto"/>
              <w:rPr>
                <w:rFonts w:ascii="Times New Roman" w:eastAsia="Times New Roman" w:hAnsi="Times New Roman" w:cs="Times New Roman"/>
                <w:sz w:val="24"/>
                <w:szCs w:val="24"/>
                <w:lang w:eastAsia="en-GB"/>
              </w:rPr>
            </w:pPr>
          </w:p>
        </w:tc>
      </w:tr>
    </w:tbl>
    <w:p w:rsidR="009B799C" w:rsidRDefault="009B799C">
      <w:bookmarkStart w:id="0" w:name="_GoBack"/>
      <w:bookmarkEnd w:id="0"/>
    </w:p>
    <w:sectPr w:rsidR="009B79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14458"/>
    <w:multiLevelType w:val="multilevel"/>
    <w:tmpl w:val="434C1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9C"/>
    <w:rsid w:val="00274146"/>
    <w:rsid w:val="009B799C"/>
    <w:rsid w:val="00FD5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B79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9B799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99C"/>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9B799C"/>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9B799C"/>
    <w:rPr>
      <w:b/>
      <w:bCs/>
    </w:rPr>
  </w:style>
  <w:style w:type="paragraph" w:styleId="NormalWeb">
    <w:name w:val="Normal (Web)"/>
    <w:basedOn w:val="Normal"/>
    <w:uiPriority w:val="99"/>
    <w:unhideWhenUsed/>
    <w:rsid w:val="009B79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B799C"/>
    <w:rPr>
      <w:color w:val="0000FF"/>
      <w:u w:val="single"/>
    </w:rPr>
  </w:style>
  <w:style w:type="paragraph" w:styleId="BalloonText">
    <w:name w:val="Balloon Text"/>
    <w:basedOn w:val="Normal"/>
    <w:link w:val="BalloonTextChar"/>
    <w:uiPriority w:val="99"/>
    <w:semiHidden/>
    <w:unhideWhenUsed/>
    <w:rsid w:val="009B79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B79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9B799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99C"/>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9B799C"/>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9B799C"/>
    <w:rPr>
      <w:b/>
      <w:bCs/>
    </w:rPr>
  </w:style>
  <w:style w:type="paragraph" w:styleId="NormalWeb">
    <w:name w:val="Normal (Web)"/>
    <w:basedOn w:val="Normal"/>
    <w:uiPriority w:val="99"/>
    <w:unhideWhenUsed/>
    <w:rsid w:val="009B79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B799C"/>
    <w:rPr>
      <w:color w:val="0000FF"/>
      <w:u w:val="single"/>
    </w:rPr>
  </w:style>
  <w:style w:type="paragraph" w:styleId="BalloonText">
    <w:name w:val="Balloon Text"/>
    <w:basedOn w:val="Normal"/>
    <w:link w:val="BalloonTextChar"/>
    <w:uiPriority w:val="99"/>
    <w:semiHidden/>
    <w:unhideWhenUsed/>
    <w:rsid w:val="009B79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159687">
      <w:bodyDiv w:val="1"/>
      <w:marLeft w:val="0"/>
      <w:marRight w:val="0"/>
      <w:marTop w:val="0"/>
      <w:marBottom w:val="0"/>
      <w:divBdr>
        <w:top w:val="none" w:sz="0" w:space="0" w:color="auto"/>
        <w:left w:val="none" w:sz="0" w:space="0" w:color="auto"/>
        <w:bottom w:val="none" w:sz="0" w:space="0" w:color="auto"/>
        <w:right w:val="none" w:sz="0" w:space="0" w:color="auto"/>
      </w:divBdr>
      <w:divsChild>
        <w:div w:id="1464687649">
          <w:marLeft w:val="0"/>
          <w:marRight w:val="0"/>
          <w:marTop w:val="0"/>
          <w:marBottom w:val="0"/>
          <w:divBdr>
            <w:top w:val="none" w:sz="0" w:space="0" w:color="auto"/>
            <w:left w:val="none" w:sz="0" w:space="0" w:color="auto"/>
            <w:bottom w:val="none" w:sz="0" w:space="0" w:color="auto"/>
            <w:right w:val="none" w:sz="0" w:space="0" w:color="auto"/>
          </w:divBdr>
          <w:divsChild>
            <w:div w:id="1023246006">
              <w:marLeft w:val="0"/>
              <w:marRight w:val="0"/>
              <w:marTop w:val="0"/>
              <w:marBottom w:val="0"/>
              <w:divBdr>
                <w:top w:val="none" w:sz="0" w:space="0" w:color="auto"/>
                <w:left w:val="none" w:sz="0" w:space="0" w:color="auto"/>
                <w:bottom w:val="none" w:sz="0" w:space="0" w:color="auto"/>
                <w:right w:val="none" w:sz="0" w:space="0" w:color="auto"/>
              </w:divBdr>
            </w:div>
          </w:divsChild>
        </w:div>
        <w:div w:id="20595855">
          <w:marLeft w:val="0"/>
          <w:marRight w:val="0"/>
          <w:marTop w:val="0"/>
          <w:marBottom w:val="0"/>
          <w:divBdr>
            <w:top w:val="none" w:sz="0" w:space="0" w:color="auto"/>
            <w:left w:val="none" w:sz="0" w:space="0" w:color="auto"/>
            <w:bottom w:val="none" w:sz="0" w:space="0" w:color="auto"/>
            <w:right w:val="none" w:sz="0" w:space="0" w:color="auto"/>
          </w:divBdr>
          <w:divsChild>
            <w:div w:id="633800106">
              <w:marLeft w:val="0"/>
              <w:marRight w:val="0"/>
              <w:marTop w:val="0"/>
              <w:marBottom w:val="0"/>
              <w:divBdr>
                <w:top w:val="none" w:sz="0" w:space="0" w:color="auto"/>
                <w:left w:val="none" w:sz="0" w:space="0" w:color="auto"/>
                <w:bottom w:val="none" w:sz="0" w:space="0" w:color="auto"/>
                <w:right w:val="none" w:sz="0" w:space="0" w:color="auto"/>
              </w:divBdr>
            </w:div>
          </w:divsChild>
        </w:div>
        <w:div w:id="1095319312">
          <w:marLeft w:val="0"/>
          <w:marRight w:val="0"/>
          <w:marTop w:val="0"/>
          <w:marBottom w:val="0"/>
          <w:divBdr>
            <w:top w:val="none" w:sz="0" w:space="0" w:color="auto"/>
            <w:left w:val="none" w:sz="0" w:space="0" w:color="auto"/>
            <w:bottom w:val="none" w:sz="0" w:space="0" w:color="auto"/>
            <w:right w:val="none" w:sz="0" w:space="0" w:color="auto"/>
          </w:divBdr>
        </w:div>
        <w:div w:id="1409038704">
          <w:marLeft w:val="0"/>
          <w:marRight w:val="0"/>
          <w:marTop w:val="0"/>
          <w:marBottom w:val="0"/>
          <w:divBdr>
            <w:top w:val="none" w:sz="0" w:space="0" w:color="auto"/>
            <w:left w:val="none" w:sz="0" w:space="0" w:color="auto"/>
            <w:bottom w:val="none" w:sz="0" w:space="0" w:color="auto"/>
            <w:right w:val="none" w:sz="0" w:space="0" w:color="auto"/>
          </w:divBdr>
          <w:divsChild>
            <w:div w:id="96319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midtropics.cgiar.org/?email_id=12&amp;user_id=243&amp;urlpassed=aHR0cDovL2h1bWlkdHJvcGljcy5jZ2lhci5vcmcvY29uZmVyZW5jZTEvc3VibWlzc2lvbg%3D%3D&amp;controller=stats&amp;action=analyse&amp;wysija-page=1&amp;wysijap=subscription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umidtropics.cgiar.org/?email_id=12&amp;user_id=243&amp;urlpassed=aHR0cDovL2h1bWlkdHJvcGljcy5jZ2lhci5vcmcvZXZlbnRzL2h1bWlkdHJvcGljcy0yMDE0LXNjaWVuY2UtY29uZmVyZW5jZQ%3D%3D&amp;controller=stats&amp;action=analyse&amp;wysija-page=1&amp;wysijap=subscriptions"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humidtropics.cgiar.org/?email_id=12&amp;user_id=243&amp;urlpassed=aHR0cDovL2h1bWlkdHJvcGljcy5jZ2lhci5vcmcvY29uZmVyZW5jZTEvUmVnaXN0cmF0aW9u&amp;controller=stats&amp;action=analyse&amp;wysija-page=1&amp;wysijap=subscriptions"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humidtropics.cgiar.org/?email_id=12&amp;user_id=243&amp;urlpassed=aHR0cDovL2h1bWlkdHJvcGljcy5jZ2lhci5vcmcvd3AtY29udGVudC91cGxvYWRzL2Rvd25sb2Fkcy8yMDE0LzAzL0h1bWlkdHJvcGljcy1Db25mZXJlbmNlLUFubm91bmNlbWVudC5wZGY%3D&amp;controller=stats&amp;action=analyse&amp;wysija-page=1&amp;wysijap=subscrip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amirkassam</dc:creator>
  <cp:lastModifiedBy>amirkassam</cp:lastModifiedBy>
  <cp:revision>1</cp:revision>
  <dcterms:created xsi:type="dcterms:W3CDTF">2014-05-08T20:59:00Z</dcterms:created>
  <dcterms:modified xsi:type="dcterms:W3CDTF">2014-05-08T21:00:00Z</dcterms:modified>
</cp:coreProperties>
</file>