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2B7" w:rsidRPr="00CE32B7" w:rsidRDefault="00CE32B7" w:rsidP="00CE32B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Segoe UI"/>
          <w:b/>
          <w:color w:val="000000"/>
          <w:sz w:val="28"/>
          <w:szCs w:val="28"/>
          <w:lang w:eastAsia="fr-FR"/>
        </w:rPr>
      </w:pPr>
      <w:r w:rsidRPr="00CE32B7">
        <w:rPr>
          <w:rFonts w:ascii="Calibri" w:eastAsia="Times New Roman" w:hAnsi="Calibri" w:cs="Segoe UI"/>
          <w:b/>
          <w:color w:val="000000"/>
          <w:sz w:val="28"/>
          <w:szCs w:val="28"/>
          <w:lang w:eastAsia="fr-FR"/>
        </w:rPr>
        <w:t>Les observations sur le</w:t>
      </w:r>
      <w:bookmarkStart w:id="0" w:name="_GoBack"/>
      <w:bookmarkEnd w:id="0"/>
      <w:r w:rsidRPr="00CE32B7">
        <w:rPr>
          <w:rFonts w:ascii="Calibri" w:eastAsia="Times New Roman" w:hAnsi="Calibri" w:cs="Segoe UI"/>
          <w:b/>
          <w:color w:val="000000"/>
          <w:sz w:val="28"/>
          <w:szCs w:val="28"/>
          <w:lang w:eastAsia="fr-FR"/>
        </w:rPr>
        <w:t xml:space="preserve">s </w:t>
      </w:r>
      <w:r w:rsidRPr="00CE32B7">
        <w:rPr>
          <w:rFonts w:ascii="Calibri" w:eastAsia="Times New Roman" w:hAnsi="Calibri" w:cs="Segoe UI"/>
          <w:b/>
          <w:color w:val="000000"/>
          <w:sz w:val="28"/>
          <w:szCs w:val="28"/>
          <w:lang w:eastAsia="fr-FR"/>
        </w:rPr>
        <w:t>Études sur la sécurité semencière (ESS)</w:t>
      </w:r>
    </w:p>
    <w:p w:rsidR="00CE32B7" w:rsidRDefault="00CE32B7" w:rsidP="00CE32B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Segoe UI"/>
          <w:b/>
          <w:color w:val="000000"/>
          <w:sz w:val="28"/>
          <w:szCs w:val="28"/>
          <w:lang w:eastAsia="fr-FR"/>
        </w:rPr>
      </w:pPr>
      <w:proofErr w:type="gramStart"/>
      <w:r w:rsidRPr="00CE32B7">
        <w:rPr>
          <w:rFonts w:ascii="Calibri" w:eastAsia="Times New Roman" w:hAnsi="Calibri" w:cs="Segoe UI"/>
          <w:b/>
          <w:color w:val="000000"/>
          <w:sz w:val="28"/>
          <w:szCs w:val="28"/>
          <w:lang w:eastAsia="fr-FR"/>
        </w:rPr>
        <w:t>dans</w:t>
      </w:r>
      <w:proofErr w:type="gramEnd"/>
      <w:r w:rsidRPr="00CE32B7">
        <w:rPr>
          <w:rFonts w:ascii="Calibri" w:eastAsia="Times New Roman" w:hAnsi="Calibri" w:cs="Segoe UI"/>
          <w:b/>
          <w:color w:val="000000"/>
          <w:sz w:val="28"/>
          <w:szCs w:val="28"/>
          <w:lang w:eastAsia="fr-FR"/>
        </w:rPr>
        <w:t xml:space="preserve"> les pays d’intervention du Sahel au cours des dix dernières années</w:t>
      </w:r>
    </w:p>
    <w:p w:rsidR="00CE32B7" w:rsidRPr="00CE32B7" w:rsidRDefault="00CE32B7" w:rsidP="00CE32B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Segoe UI"/>
          <w:b/>
          <w:color w:val="000000"/>
          <w:sz w:val="28"/>
          <w:szCs w:val="28"/>
          <w:lang w:eastAsia="fr-FR"/>
        </w:rPr>
      </w:pPr>
      <w:r>
        <w:rPr>
          <w:rFonts w:ascii="Calibri" w:eastAsia="Times New Roman" w:hAnsi="Calibri" w:cs="Segoe UI"/>
          <w:b/>
          <w:color w:val="000000"/>
          <w:sz w:val="28"/>
          <w:szCs w:val="28"/>
          <w:lang w:eastAsia="fr-FR"/>
        </w:rPr>
        <w:t xml:space="preserve">(Cas du </w:t>
      </w:r>
      <w:r w:rsidR="00D210D8">
        <w:rPr>
          <w:rFonts w:ascii="Calibri" w:eastAsia="Times New Roman" w:hAnsi="Calibri" w:cs="Segoe UI"/>
          <w:b/>
          <w:color w:val="000000"/>
          <w:sz w:val="28"/>
          <w:szCs w:val="28"/>
          <w:lang w:eastAsia="fr-FR"/>
        </w:rPr>
        <w:t xml:space="preserve">Rapport ESS </w:t>
      </w:r>
      <w:r>
        <w:rPr>
          <w:rFonts w:ascii="Calibri" w:eastAsia="Times New Roman" w:hAnsi="Calibri" w:cs="Segoe UI"/>
          <w:b/>
          <w:color w:val="000000"/>
          <w:sz w:val="28"/>
          <w:szCs w:val="28"/>
          <w:lang w:eastAsia="fr-FR"/>
        </w:rPr>
        <w:t>Tchad)</w:t>
      </w:r>
    </w:p>
    <w:p w:rsidR="00CE32B7" w:rsidRDefault="00CE32B7" w:rsidP="00E1542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b/>
          <w:color w:val="000000"/>
          <w:lang w:eastAsia="fr-FR"/>
        </w:rPr>
      </w:pPr>
    </w:p>
    <w:p w:rsidR="00F4196E" w:rsidRPr="00F4196E" w:rsidRDefault="00CE32B7" w:rsidP="00E1542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b/>
          <w:color w:val="000000"/>
          <w:lang w:eastAsia="fr-FR"/>
        </w:rPr>
      </w:pPr>
      <w:r>
        <w:rPr>
          <w:rFonts w:ascii="Calibri" w:eastAsia="Times New Roman" w:hAnsi="Calibri" w:cs="Segoe UI"/>
          <w:b/>
          <w:color w:val="000000"/>
          <w:lang w:eastAsia="fr-FR"/>
        </w:rPr>
        <w:t xml:space="preserve">1) </w:t>
      </w:r>
      <w:r w:rsidR="00F4196E" w:rsidRPr="00F4196E">
        <w:rPr>
          <w:rFonts w:ascii="Calibri" w:eastAsia="Times New Roman" w:hAnsi="Calibri" w:cs="Segoe UI"/>
          <w:b/>
          <w:color w:val="000000"/>
          <w:lang w:eastAsia="fr-FR"/>
        </w:rPr>
        <w:t>Quels sont les aspects clés qui ont été évoqués par ce rapport qui peuvent contribuer à améliorer la façon dont vous travaillez?</w:t>
      </w:r>
    </w:p>
    <w:p w:rsidR="00B15469" w:rsidRDefault="00B15469" w:rsidP="00B1546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fr-FR"/>
        </w:rPr>
      </w:pPr>
    </w:p>
    <w:p w:rsidR="00B47E5A" w:rsidRDefault="00D210D8" w:rsidP="00CE32B7">
      <w:pPr>
        <w:tabs>
          <w:tab w:val="left" w:pos="270"/>
        </w:tabs>
        <w:spacing w:after="0" w:line="240" w:lineRule="auto"/>
        <w:jc w:val="both"/>
        <w:rPr>
          <w:rFonts w:eastAsia="Batang"/>
        </w:rPr>
      </w:pPr>
      <w:r>
        <w:rPr>
          <w:rFonts w:eastAsia="Batang"/>
        </w:rPr>
        <w:t>-</w:t>
      </w:r>
      <w:r w:rsidR="00B47E5A" w:rsidRPr="00873070">
        <w:rPr>
          <w:rFonts w:eastAsia="Batang"/>
        </w:rPr>
        <w:t xml:space="preserve">Le secteur semencier est marqué par des interventions d’urgences et notamment les importantes distributions directes de semences </w:t>
      </w:r>
      <w:r w:rsidR="00B47E5A">
        <w:t>ayant lieu à la suite des</w:t>
      </w:r>
      <w:r w:rsidR="00B47E5A" w:rsidRPr="002459CD">
        <w:t xml:space="preserve"> sécheresses répétées et aux nombreuses crises politico-militaires que le pays</w:t>
      </w:r>
      <w:r w:rsidR="00B47E5A">
        <w:t xml:space="preserve"> a connues</w:t>
      </w:r>
      <w:r w:rsidR="00B47E5A" w:rsidRPr="002459CD">
        <w:t xml:space="preserve"> ces dernières années</w:t>
      </w:r>
      <w:r w:rsidR="00B47E5A" w:rsidRPr="00873070">
        <w:rPr>
          <w:rFonts w:eastAsia="Batang"/>
        </w:rPr>
        <w:t xml:space="preserve">. </w:t>
      </w:r>
    </w:p>
    <w:p w:rsidR="00CE32B7" w:rsidRDefault="00CE32B7" w:rsidP="00CE32B7">
      <w:pPr>
        <w:tabs>
          <w:tab w:val="left" w:pos="270"/>
        </w:tabs>
        <w:spacing w:after="0" w:line="240" w:lineRule="auto"/>
        <w:jc w:val="both"/>
      </w:pPr>
    </w:p>
    <w:p w:rsidR="00413ABC" w:rsidRDefault="00D210D8" w:rsidP="00CE32B7">
      <w:pPr>
        <w:tabs>
          <w:tab w:val="left" w:pos="270"/>
        </w:tabs>
        <w:spacing w:after="0" w:line="240" w:lineRule="auto"/>
        <w:jc w:val="both"/>
      </w:pPr>
      <w:r>
        <w:t>-</w:t>
      </w:r>
      <w:r w:rsidR="00F4196E">
        <w:t xml:space="preserve">Quatre sources de semences ont été comparées (Bons d’achat et foires aux semences, achat direct de semences, achat local au marché, et le secteur formel des semences). </w:t>
      </w:r>
    </w:p>
    <w:p w:rsidR="00CE32B7" w:rsidRDefault="00CE32B7" w:rsidP="00CE32B7">
      <w:pPr>
        <w:tabs>
          <w:tab w:val="left" w:pos="270"/>
        </w:tabs>
        <w:spacing w:after="0" w:line="240" w:lineRule="auto"/>
        <w:jc w:val="both"/>
      </w:pPr>
    </w:p>
    <w:p w:rsidR="00CE32B7" w:rsidRDefault="00D210D8" w:rsidP="00CE32B7">
      <w:pPr>
        <w:tabs>
          <w:tab w:val="left" w:pos="270"/>
        </w:tabs>
        <w:spacing w:after="0" w:line="240" w:lineRule="auto"/>
        <w:jc w:val="both"/>
      </w:pPr>
      <w:r>
        <w:t>-</w:t>
      </w:r>
      <w:r w:rsidR="00413ABC" w:rsidRPr="003E3E0A">
        <w:t>La plupart des paysans ne disposent pas de ressources nécessaires pour l'accès aux différents intran</w:t>
      </w:r>
      <w:r w:rsidR="00413ABC">
        <w:t>ts dont les semences améliorées et i</w:t>
      </w:r>
      <w:r w:rsidR="00413ABC" w:rsidRPr="003E3E0A">
        <w:t>l n’existe pas de système efficace et stable de crédit agricole.</w:t>
      </w:r>
    </w:p>
    <w:p w:rsidR="00CE32B7" w:rsidRDefault="00CE32B7" w:rsidP="00CE32B7">
      <w:pPr>
        <w:tabs>
          <w:tab w:val="left" w:pos="270"/>
        </w:tabs>
        <w:spacing w:after="0" w:line="240" w:lineRule="auto"/>
        <w:jc w:val="both"/>
      </w:pPr>
    </w:p>
    <w:p w:rsidR="005B3870" w:rsidRDefault="00D210D8" w:rsidP="00D210D8">
      <w:pPr>
        <w:tabs>
          <w:tab w:val="left" w:pos="270"/>
        </w:tabs>
        <w:spacing w:after="0" w:line="240" w:lineRule="auto"/>
        <w:jc w:val="both"/>
      </w:pPr>
      <w:r>
        <w:rPr>
          <w:rFonts w:eastAsia="Batang"/>
        </w:rPr>
        <w:t>-</w:t>
      </w:r>
      <w:r w:rsidR="005B3870" w:rsidRPr="005B3870">
        <w:rPr>
          <w:rFonts w:eastAsia="Batang"/>
        </w:rPr>
        <w:t>Une production de semences en cours de développement mais encore très limitée.</w:t>
      </w:r>
    </w:p>
    <w:p w:rsidR="00D210D8" w:rsidRDefault="00D210D8" w:rsidP="007F00EE"/>
    <w:p w:rsidR="00F4196E" w:rsidRPr="007F00EE" w:rsidRDefault="00CE32B7" w:rsidP="007F00EE">
      <w:r>
        <w:rPr>
          <w:rFonts w:ascii="Calibri" w:eastAsia="Times New Roman" w:hAnsi="Calibri" w:cs="Segoe UI"/>
          <w:b/>
          <w:color w:val="000000"/>
          <w:lang w:eastAsia="fr-FR"/>
        </w:rPr>
        <w:t xml:space="preserve">2) </w:t>
      </w:r>
      <w:r w:rsidR="00F4196E" w:rsidRPr="00F4196E">
        <w:rPr>
          <w:rFonts w:ascii="Calibri" w:eastAsia="Times New Roman" w:hAnsi="Calibri" w:cs="Segoe UI"/>
          <w:b/>
          <w:color w:val="000000"/>
          <w:lang w:eastAsia="fr-FR"/>
        </w:rPr>
        <w:t>Quels sont les aspects qui font défaut?</w:t>
      </w:r>
    </w:p>
    <w:p w:rsidR="00413ABC" w:rsidRDefault="00D210D8" w:rsidP="00413ABC">
      <w:pPr>
        <w:spacing w:after="0" w:line="240" w:lineRule="auto"/>
      </w:pPr>
      <w:r>
        <w:t>-</w:t>
      </w:r>
      <w:r w:rsidR="005B3870" w:rsidRPr="005B3870">
        <w:t xml:space="preserve">Les sources de </w:t>
      </w:r>
      <w:r w:rsidR="00CE32B7">
        <w:t>semences</w:t>
      </w:r>
      <w:r w:rsidR="005B3870" w:rsidRPr="005B3870">
        <w:t xml:space="preserve"> n’ont pas été données avec exactitude. </w:t>
      </w:r>
      <w:r>
        <w:t>Les semences dans le cadre d’urgence sont de semences de qualité douteuse car le plus souvent achetées auprès des commerçants.</w:t>
      </w:r>
      <w:r w:rsidR="005D4134">
        <w:t xml:space="preserve"> </w:t>
      </w:r>
      <w:r w:rsidR="005B3870" w:rsidRPr="005B3870">
        <w:t xml:space="preserve">Les semences quelquefois </w:t>
      </w:r>
      <w:r w:rsidR="00B8203B" w:rsidRPr="005B3870">
        <w:t xml:space="preserve">ont été </w:t>
      </w:r>
      <w:r w:rsidR="005B3870" w:rsidRPr="005B3870">
        <w:t>introduites directement de l’extérieur sans passer par la recherche ou le service phytosanitaire ex</w:t>
      </w:r>
      <w:r w:rsidR="00CE32B7">
        <w:t>.</w:t>
      </w:r>
      <w:r w:rsidR="005B3870" w:rsidRPr="005B3870">
        <w:t xml:space="preserve"> </w:t>
      </w:r>
      <w:r w:rsidR="005D4134">
        <w:t>cas d</w:t>
      </w:r>
      <w:r w:rsidR="005B3870" w:rsidRPr="005B3870">
        <w:t>es semences PANAR</w:t>
      </w:r>
      <w:r w:rsidR="00CE32B7">
        <w:t xml:space="preserve"> (République Sud-Africaine)</w:t>
      </w:r>
      <w:r w:rsidR="005D4134">
        <w:t xml:space="preserve"> est encore frais dans nos mémoires</w:t>
      </w:r>
      <w:r w:rsidR="00B8203B">
        <w:t>.</w:t>
      </w:r>
    </w:p>
    <w:p w:rsidR="005B3870" w:rsidRPr="005B3870" w:rsidRDefault="005B3870" w:rsidP="00413ABC">
      <w:pPr>
        <w:spacing w:after="0" w:line="240" w:lineRule="auto"/>
      </w:pPr>
    </w:p>
    <w:p w:rsidR="00413ABC" w:rsidRDefault="00D210D8" w:rsidP="00413ABC">
      <w:pPr>
        <w:rPr>
          <w:rFonts w:eastAsia="Batang"/>
        </w:rPr>
      </w:pPr>
      <w:r>
        <w:t>-</w:t>
      </w:r>
      <w:r w:rsidR="00413ABC" w:rsidRPr="00CA5BCE">
        <w:t xml:space="preserve">Les informations sur l’importance et la disponibilité des semences </w:t>
      </w:r>
      <w:r w:rsidRPr="00CA5BCE">
        <w:t xml:space="preserve">améliorées. </w:t>
      </w:r>
    </w:p>
    <w:p w:rsidR="00B8203B" w:rsidRDefault="00D210D8" w:rsidP="00B8203B">
      <w:pPr>
        <w:tabs>
          <w:tab w:val="left" w:pos="270"/>
        </w:tabs>
        <w:spacing w:after="0" w:line="240" w:lineRule="auto"/>
        <w:jc w:val="both"/>
        <w:rPr>
          <w:rFonts w:eastAsia="Batang"/>
        </w:rPr>
      </w:pPr>
      <w:r>
        <w:rPr>
          <w:rFonts w:eastAsia="Batang"/>
        </w:rPr>
        <w:t>-</w:t>
      </w:r>
      <w:r w:rsidR="00B8203B">
        <w:rPr>
          <w:rFonts w:eastAsia="Batang"/>
        </w:rPr>
        <w:t xml:space="preserve">Les </w:t>
      </w:r>
      <w:r w:rsidR="00B8203B" w:rsidRPr="00873070">
        <w:rPr>
          <w:rFonts w:eastAsia="Batang"/>
        </w:rPr>
        <w:t>interventions</w:t>
      </w:r>
      <w:r>
        <w:rPr>
          <w:rFonts w:eastAsia="Batang"/>
        </w:rPr>
        <w:t xml:space="preserve"> d’urgence</w:t>
      </w:r>
      <w:r w:rsidR="00B8203B" w:rsidRPr="00873070">
        <w:rPr>
          <w:rFonts w:eastAsia="Batang"/>
        </w:rPr>
        <w:t xml:space="preserve">, bien que justifiées d’un point de vue humanitaire, ont un impact négatif sur le marché potentiel en semences. </w:t>
      </w:r>
    </w:p>
    <w:p w:rsidR="00F4196E" w:rsidRDefault="00F4196E" w:rsidP="00B8203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b/>
          <w:color w:val="000000"/>
          <w:lang w:eastAsia="fr-FR"/>
        </w:rPr>
      </w:pPr>
    </w:p>
    <w:p w:rsidR="00D210D8" w:rsidRDefault="00D210D8" w:rsidP="00B8203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b/>
          <w:color w:val="000000"/>
          <w:lang w:eastAsia="fr-FR"/>
        </w:rPr>
      </w:pPr>
    </w:p>
    <w:p w:rsidR="00F4196E" w:rsidRPr="00F4196E" w:rsidRDefault="00CE32B7" w:rsidP="007F0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b/>
          <w:color w:val="000000"/>
          <w:lang w:eastAsia="fr-FR"/>
        </w:rPr>
      </w:pPr>
      <w:r>
        <w:rPr>
          <w:rFonts w:ascii="Calibri" w:eastAsia="Times New Roman" w:hAnsi="Calibri" w:cs="Segoe UI"/>
          <w:b/>
          <w:color w:val="000000"/>
          <w:lang w:eastAsia="fr-FR"/>
        </w:rPr>
        <w:t xml:space="preserve">3) </w:t>
      </w:r>
      <w:r w:rsidR="00F4196E" w:rsidRPr="00F4196E">
        <w:rPr>
          <w:rFonts w:ascii="Calibri" w:eastAsia="Times New Roman" w:hAnsi="Calibri" w:cs="Segoe UI"/>
          <w:b/>
          <w:color w:val="000000"/>
          <w:lang w:eastAsia="fr-FR"/>
        </w:rPr>
        <w:t>Sur la base des conclusions du Rapport, quelles leçons pouvons-nous tirer?</w:t>
      </w:r>
    </w:p>
    <w:p w:rsidR="00F4196E" w:rsidRPr="00F4196E" w:rsidRDefault="00F4196E" w:rsidP="00F4196E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b/>
          <w:color w:val="000000"/>
          <w:sz w:val="20"/>
          <w:szCs w:val="20"/>
          <w:lang w:eastAsia="fr-FR"/>
        </w:rPr>
      </w:pPr>
      <w:r w:rsidRPr="00F4196E">
        <w:rPr>
          <w:rFonts w:ascii="Segoe UI" w:eastAsia="Times New Roman" w:hAnsi="Segoe UI" w:cs="Segoe UI"/>
          <w:b/>
          <w:color w:val="000000"/>
          <w:sz w:val="20"/>
          <w:szCs w:val="20"/>
          <w:lang w:eastAsia="fr-FR"/>
        </w:rPr>
        <w:t> </w:t>
      </w:r>
    </w:p>
    <w:p w:rsidR="00F4196E" w:rsidRDefault="00D210D8" w:rsidP="00B15469">
      <w:pPr>
        <w:spacing w:after="0" w:line="240" w:lineRule="auto"/>
      </w:pPr>
      <w:r>
        <w:t>-</w:t>
      </w:r>
      <w:r w:rsidR="00873070">
        <w:t xml:space="preserve">Le secteur semencier </w:t>
      </w:r>
      <w:r w:rsidR="00873070">
        <w:t>in</w:t>
      </w:r>
      <w:r w:rsidR="00873070">
        <w:t xml:space="preserve">formel </w:t>
      </w:r>
      <w:r w:rsidR="00B47E5A">
        <w:rPr>
          <w:rFonts w:eastAsia="Batang"/>
        </w:rPr>
        <w:t>(privés)</w:t>
      </w:r>
      <w:r w:rsidR="00B47E5A">
        <w:rPr>
          <w:rFonts w:eastAsia="Batang"/>
        </w:rPr>
        <w:t xml:space="preserve"> </w:t>
      </w:r>
      <w:r w:rsidR="00873070">
        <w:t xml:space="preserve">est </w:t>
      </w:r>
      <w:r w:rsidR="00873070">
        <w:t>appelé à jouer un rôle aussi important au même titre que les autres acteurs pour la viabilité du système.</w:t>
      </w:r>
      <w:r w:rsidR="00873070">
        <w:t xml:space="preserve"> </w:t>
      </w:r>
    </w:p>
    <w:p w:rsidR="00D210D8" w:rsidRDefault="00D210D8" w:rsidP="00B15469">
      <w:pPr>
        <w:spacing w:after="0" w:line="240" w:lineRule="auto"/>
      </w:pPr>
    </w:p>
    <w:p w:rsidR="007F00EE" w:rsidRDefault="00D210D8" w:rsidP="007F00EE">
      <w:r>
        <w:t>-</w:t>
      </w:r>
      <w:r w:rsidR="007F00EE">
        <w:t>Le s</w:t>
      </w:r>
      <w:r w:rsidR="007F00EE">
        <w:t xml:space="preserve">outien aux gestionnaires de semences des agriculteurs et des groupes informels producteurs des semences paysannes. </w:t>
      </w:r>
    </w:p>
    <w:p w:rsidR="007F00EE" w:rsidRDefault="00D210D8" w:rsidP="007F00EE">
      <w:r>
        <w:t>-</w:t>
      </w:r>
      <w:r w:rsidR="007F00EE">
        <w:t>Le s</w:t>
      </w:r>
      <w:r w:rsidR="007F00EE">
        <w:t>outien aux vendeurs loca</w:t>
      </w:r>
      <w:r w:rsidR="007F00EE">
        <w:t>ux des semences au marché local</w:t>
      </w:r>
      <w:r w:rsidR="007F00EE">
        <w:t xml:space="preserve">. </w:t>
      </w:r>
    </w:p>
    <w:p w:rsidR="00873070" w:rsidRPr="00B8203B" w:rsidRDefault="00D210D8" w:rsidP="00B8203B">
      <w:r>
        <w:t>-</w:t>
      </w:r>
      <w:r w:rsidR="00413ABC">
        <w:t>L’a</w:t>
      </w:r>
      <w:r w:rsidR="007F00EE">
        <w:t xml:space="preserve">ppui au secteur semencier formel </w:t>
      </w:r>
      <w:r w:rsidR="007F00EE">
        <w:t xml:space="preserve">(ITRAD </w:t>
      </w:r>
      <w:r w:rsidR="00413ABC">
        <w:t>pour la création, production et conservation des ressources phylogénétiques) et BNSP pour le contrôle et la certification)</w:t>
      </w:r>
      <w:r w:rsidR="007F00EE">
        <w:t>.</w:t>
      </w:r>
    </w:p>
    <w:p w:rsidR="00B8203B" w:rsidRDefault="00D210D8" w:rsidP="00B8203B">
      <w:pPr>
        <w:shd w:val="clear" w:color="auto" w:fill="FFFFFF"/>
        <w:spacing w:after="0" w:line="240" w:lineRule="auto"/>
      </w:pPr>
      <w:r>
        <w:rPr>
          <w:rFonts w:ascii="Segoe UI" w:eastAsia="Times New Roman" w:hAnsi="Segoe UI" w:cs="Segoe UI"/>
          <w:color w:val="000000"/>
          <w:sz w:val="20"/>
          <w:szCs w:val="20"/>
          <w:lang w:eastAsia="fr-FR"/>
        </w:rPr>
        <w:t>-</w:t>
      </w:r>
      <w:r w:rsidR="00B8203B">
        <w:rPr>
          <w:rFonts w:ascii="Segoe UI" w:eastAsia="Times New Roman" w:hAnsi="Segoe UI" w:cs="Segoe UI"/>
          <w:color w:val="000000"/>
          <w:sz w:val="20"/>
          <w:szCs w:val="20"/>
          <w:lang w:eastAsia="fr-FR"/>
        </w:rPr>
        <w:t>Les</w:t>
      </w:r>
      <w:r w:rsidR="00B15469" w:rsidRPr="00B15469">
        <w:rPr>
          <w:rFonts w:ascii="Segoe UI" w:eastAsia="Times New Roman" w:hAnsi="Segoe UI" w:cs="Segoe UI"/>
          <w:color w:val="000000"/>
          <w:sz w:val="20"/>
          <w:szCs w:val="20"/>
          <w:lang w:eastAsia="fr-FR"/>
        </w:rPr>
        <w:t> </w:t>
      </w:r>
      <w:r w:rsidR="00B8203B">
        <w:t xml:space="preserve">études rapides de sécurité semencière après une catastrophe aiguë doivent être opportunes pour informer une réponse pour la saison suivante. </w:t>
      </w:r>
    </w:p>
    <w:p w:rsidR="00B8203B" w:rsidRPr="00B8203B" w:rsidRDefault="00B8203B" w:rsidP="00B8203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fr-FR"/>
        </w:rPr>
      </w:pPr>
    </w:p>
    <w:p w:rsidR="00B8203B" w:rsidRDefault="00D210D8" w:rsidP="00B8203B">
      <w:r>
        <w:lastRenderedPageBreak/>
        <w:t>-</w:t>
      </w:r>
      <w:r w:rsidR="00B8203B">
        <w:t xml:space="preserve">Il y a un besoin de formation sur les systèmes semenciers et la sécurité semencière. </w:t>
      </w:r>
    </w:p>
    <w:p w:rsidR="00B8203B" w:rsidRDefault="00D210D8" w:rsidP="00B8203B">
      <w:r>
        <w:t>-</w:t>
      </w:r>
      <w:r w:rsidR="00B8203B">
        <w:t xml:space="preserve">Les résultats de ces études sur la sécurité semencière peuvent éclairer la conception d’un projet pour s'assurer que davantage d’acteurs, en particulier les femmes, sont engagés dans l'activité proposée. </w:t>
      </w:r>
    </w:p>
    <w:p w:rsidR="00AC4D55" w:rsidRDefault="00AC4D55" w:rsidP="00B8203B"/>
    <w:sectPr w:rsidR="00AC4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661B3"/>
    <w:multiLevelType w:val="hybridMultilevel"/>
    <w:tmpl w:val="C62E8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5922EC"/>
    <w:multiLevelType w:val="hybridMultilevel"/>
    <w:tmpl w:val="D548DE76"/>
    <w:lvl w:ilvl="0" w:tplc="8ED6506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469"/>
    <w:rsid w:val="00413ABC"/>
    <w:rsid w:val="005B3870"/>
    <w:rsid w:val="005D4134"/>
    <w:rsid w:val="007F00EE"/>
    <w:rsid w:val="00873070"/>
    <w:rsid w:val="00963838"/>
    <w:rsid w:val="00AC4D55"/>
    <w:rsid w:val="00B15469"/>
    <w:rsid w:val="00B47E5A"/>
    <w:rsid w:val="00B8203B"/>
    <w:rsid w:val="00CE32B7"/>
    <w:rsid w:val="00D210D8"/>
    <w:rsid w:val="00E15421"/>
    <w:rsid w:val="00F4196E"/>
    <w:rsid w:val="00F9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419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419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4196E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1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196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154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419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419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4196E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1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196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15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1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6243">
              <w:marLeft w:val="405"/>
              <w:marRight w:val="4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ECECEC"/>
                <w:right w:val="none" w:sz="0" w:space="0" w:color="auto"/>
              </w:divBdr>
              <w:divsChild>
                <w:div w:id="1097407809">
                  <w:marLeft w:val="0"/>
                  <w:marRight w:val="10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38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180243">
          <w:marLeft w:val="405"/>
          <w:marRight w:val="4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3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18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419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2014-05-24T20:26:00Z</dcterms:created>
  <dcterms:modified xsi:type="dcterms:W3CDTF">2014-05-30T22:28:00Z</dcterms:modified>
</cp:coreProperties>
</file>