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744" w:rsidRDefault="00625744" w:rsidP="00782B02">
      <w:pPr>
        <w:jc w:val="both"/>
        <w:rPr>
          <w:lang w:eastAsia="it-IT"/>
        </w:rPr>
      </w:pPr>
    </w:p>
    <w:p w:rsidR="00625744" w:rsidRPr="00C77B2F" w:rsidRDefault="00A15830" w:rsidP="00625744">
      <w:pPr>
        <w:jc w:val="center"/>
        <w:rPr>
          <w:b/>
          <w:bCs/>
          <w:sz w:val="28"/>
          <w:szCs w:val="28"/>
        </w:rPr>
      </w:pPr>
      <w:r>
        <w:rPr>
          <w:b/>
          <w:bCs/>
          <w:sz w:val="28"/>
          <w:szCs w:val="28"/>
        </w:rPr>
        <w:t>G</w:t>
      </w:r>
      <w:r w:rsidRPr="00C77B2F">
        <w:rPr>
          <w:b/>
          <w:bCs/>
          <w:sz w:val="28"/>
          <w:szCs w:val="28"/>
        </w:rPr>
        <w:t>BEP Sustainability</w:t>
      </w:r>
      <w:r>
        <w:rPr>
          <w:b/>
          <w:bCs/>
          <w:sz w:val="28"/>
          <w:szCs w:val="28"/>
        </w:rPr>
        <w:t xml:space="preserve"> </w:t>
      </w:r>
      <w:r w:rsidR="00625744" w:rsidRPr="00C77B2F">
        <w:rPr>
          <w:b/>
          <w:bCs/>
          <w:sz w:val="28"/>
          <w:szCs w:val="28"/>
        </w:rPr>
        <w:t>Indicators for Bioenergy – ENVIRONMENTAL PILLAR</w:t>
      </w:r>
    </w:p>
    <w:p w:rsidR="00625744" w:rsidRDefault="00625744" w:rsidP="00625744">
      <w:pPr>
        <w:pStyle w:val="Default"/>
        <w:rPr>
          <w:sz w:val="18"/>
          <w:szCs w:val="18"/>
        </w:rPr>
      </w:pPr>
    </w:p>
    <w:p w:rsidR="00625744" w:rsidRPr="00DC2FF0" w:rsidRDefault="00625744" w:rsidP="00625744">
      <w:pPr>
        <w:pStyle w:val="Default"/>
        <w:rPr>
          <w:sz w:val="12"/>
          <w:szCs w:val="12"/>
        </w:rPr>
      </w:pPr>
    </w:p>
    <w:tbl>
      <w:tblPr>
        <w:tblStyle w:val="TableGrid"/>
        <w:tblW w:w="15480" w:type="dxa"/>
        <w:tblInd w:w="-545" w:type="dxa"/>
        <w:tblLayout w:type="fixed"/>
        <w:tblLook w:val="04A0"/>
      </w:tblPr>
      <w:tblGrid>
        <w:gridCol w:w="1980"/>
        <w:gridCol w:w="3068"/>
        <w:gridCol w:w="2976"/>
        <w:gridCol w:w="3119"/>
        <w:gridCol w:w="1817"/>
        <w:gridCol w:w="2520"/>
      </w:tblGrid>
      <w:tr w:rsidR="00625744" w:rsidTr="008F6DD5">
        <w:tc>
          <w:tcPr>
            <w:tcW w:w="1980" w:type="dxa"/>
          </w:tcPr>
          <w:p w:rsidR="00625744" w:rsidRPr="00C17876" w:rsidRDefault="00625744" w:rsidP="008F6DD5">
            <w:pPr>
              <w:pStyle w:val="Default"/>
              <w:rPr>
                <w:b/>
                <w:sz w:val="20"/>
                <w:szCs w:val="20"/>
              </w:rPr>
            </w:pPr>
            <w:r w:rsidRPr="00C17876">
              <w:rPr>
                <w:b/>
                <w:sz w:val="20"/>
                <w:szCs w:val="20"/>
              </w:rPr>
              <w:t>INDICATOR NAME</w:t>
            </w:r>
          </w:p>
        </w:tc>
        <w:tc>
          <w:tcPr>
            <w:tcW w:w="3068" w:type="dxa"/>
          </w:tcPr>
          <w:p w:rsidR="00625744" w:rsidRPr="00C17876" w:rsidRDefault="00625744" w:rsidP="008F6DD5">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625744" w:rsidRPr="00C17876" w:rsidRDefault="00625744" w:rsidP="008F6DD5">
            <w:pPr>
              <w:pStyle w:val="Default"/>
              <w:ind w:left="-29" w:right="-108"/>
              <w:rPr>
                <w:b/>
                <w:sz w:val="20"/>
                <w:szCs w:val="20"/>
              </w:rPr>
            </w:pPr>
          </w:p>
        </w:tc>
        <w:tc>
          <w:tcPr>
            <w:tcW w:w="2976" w:type="dxa"/>
          </w:tcPr>
          <w:p w:rsidR="00625744" w:rsidRDefault="00625744" w:rsidP="008F6DD5">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625744" w:rsidRDefault="00625744" w:rsidP="008F6DD5">
            <w:pPr>
              <w:pStyle w:val="Default"/>
              <w:ind w:left="-9"/>
              <w:rPr>
                <w:b/>
                <w:sz w:val="20"/>
                <w:szCs w:val="20"/>
              </w:rPr>
            </w:pPr>
            <w:r>
              <w:rPr>
                <w:b/>
                <w:sz w:val="20"/>
                <w:szCs w:val="20"/>
              </w:rPr>
              <w:t>Data appropriateness?</w:t>
            </w:r>
          </w:p>
          <w:p w:rsidR="00625744" w:rsidRPr="00C17876" w:rsidRDefault="00625744" w:rsidP="008F6DD5">
            <w:pPr>
              <w:pStyle w:val="Default"/>
              <w:ind w:left="-9"/>
              <w:rPr>
                <w:b/>
                <w:sz w:val="20"/>
                <w:szCs w:val="20"/>
              </w:rPr>
            </w:pPr>
          </w:p>
        </w:tc>
        <w:tc>
          <w:tcPr>
            <w:tcW w:w="3119" w:type="dxa"/>
          </w:tcPr>
          <w:p w:rsidR="00625744" w:rsidRPr="00C17876" w:rsidRDefault="00625744" w:rsidP="008F6DD5">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17" w:type="dxa"/>
          </w:tcPr>
          <w:p w:rsidR="00625744" w:rsidRPr="00C17876" w:rsidRDefault="00625744" w:rsidP="008F6DD5">
            <w:pPr>
              <w:pStyle w:val="Default"/>
              <w:ind w:left="-9"/>
              <w:rPr>
                <w:b/>
                <w:sz w:val="20"/>
                <w:szCs w:val="20"/>
              </w:rPr>
            </w:pPr>
            <w:r>
              <w:rPr>
                <w:b/>
                <w:sz w:val="20"/>
                <w:szCs w:val="20"/>
              </w:rPr>
              <w:t>4) Any other fundamental obstacle?</w:t>
            </w:r>
          </w:p>
        </w:tc>
        <w:tc>
          <w:tcPr>
            <w:tcW w:w="2520" w:type="dxa"/>
          </w:tcPr>
          <w:p w:rsidR="00625744" w:rsidRPr="00C17876" w:rsidRDefault="00625744" w:rsidP="008F6DD5">
            <w:pPr>
              <w:pStyle w:val="Default"/>
              <w:ind w:left="-9"/>
              <w:rPr>
                <w:b/>
                <w:sz w:val="20"/>
                <w:szCs w:val="20"/>
              </w:rPr>
            </w:pPr>
            <w:r>
              <w:rPr>
                <w:b/>
                <w:sz w:val="20"/>
                <w:szCs w:val="20"/>
              </w:rPr>
              <w:t>5) Comments.</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 xml:space="preserve">1. Lifecycle GHG emissions </w:t>
            </w:r>
          </w:p>
        </w:tc>
        <w:tc>
          <w:tcPr>
            <w:tcW w:w="3068" w:type="dxa"/>
          </w:tcPr>
          <w:p w:rsidR="00625744" w:rsidRPr="005A5C0A" w:rsidRDefault="00625744" w:rsidP="008F6DD5">
            <w:pPr>
              <w:spacing w:after="120"/>
              <w:rPr>
                <w:sz w:val="20"/>
                <w:szCs w:val="20"/>
              </w:rPr>
            </w:pPr>
            <w:r w:rsidRPr="005A5C0A">
              <w:rPr>
                <w:sz w:val="20"/>
                <w:szCs w:val="20"/>
              </w:rPr>
              <w:t>1) suggested to use with best available data, not using default values possibly.</w:t>
            </w:r>
          </w:p>
          <w:p w:rsidR="00625744" w:rsidRDefault="00625744" w:rsidP="00E36C44">
            <w:pPr>
              <w:spacing w:after="120"/>
              <w:rPr>
                <w:sz w:val="20"/>
                <w:szCs w:val="20"/>
              </w:rPr>
            </w:pPr>
            <w:r w:rsidRPr="005A5C0A">
              <w:rPr>
                <w:sz w:val="20"/>
                <w:szCs w:val="20"/>
              </w:rPr>
              <w:t xml:space="preserve">2) it is important to specify in which contexts it is suggested to use one or the other. </w:t>
            </w:r>
          </w:p>
          <w:p w:rsidR="00E36C44" w:rsidRPr="005A5C0A" w:rsidRDefault="00E36C44" w:rsidP="00E36C44">
            <w:pPr>
              <w:spacing w:after="120"/>
              <w:rPr>
                <w:sz w:val="20"/>
                <w:szCs w:val="20"/>
              </w:rPr>
            </w:pPr>
            <w:r>
              <w:rPr>
                <w:sz w:val="20"/>
                <w:szCs w:val="20"/>
              </w:rPr>
              <w:t>3) finally the data should be in line the internationally reported data (UNECE, UNFCCC …)</w:t>
            </w:r>
          </w:p>
        </w:tc>
        <w:tc>
          <w:tcPr>
            <w:tcW w:w="2976" w:type="dxa"/>
          </w:tcPr>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1) Data available.</w:t>
            </w:r>
          </w:p>
          <w:p w:rsidR="00625744"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 xml:space="preserve">2) Better not to use default values because they represent proxy. </w:t>
            </w:r>
          </w:p>
          <w:p w:rsidR="00E36C44" w:rsidRPr="00E36C44" w:rsidRDefault="00E36C44" w:rsidP="00E36C44">
            <w:pPr>
              <w:pStyle w:val="Default"/>
              <w:spacing w:after="120"/>
              <w:rPr>
                <w:rFonts w:asciiTheme="minorHAnsi" w:hAnsiTheme="minorHAnsi"/>
                <w:sz w:val="20"/>
                <w:szCs w:val="20"/>
              </w:rPr>
            </w:pPr>
            <w:r>
              <w:rPr>
                <w:rFonts w:asciiTheme="minorHAnsi" w:hAnsiTheme="minorHAnsi"/>
                <w:sz w:val="20"/>
                <w:szCs w:val="20"/>
              </w:rPr>
              <w:t>3</w:t>
            </w:r>
            <w:r w:rsidRPr="00E36C44">
              <w:rPr>
                <w:rFonts w:asciiTheme="minorHAnsi" w:hAnsiTheme="minorHAnsi"/>
                <w:sz w:val="20"/>
                <w:szCs w:val="20"/>
              </w:rPr>
              <w:t xml:space="preserve">) </w:t>
            </w:r>
            <w:proofErr w:type="spellStart"/>
            <w:r w:rsidRPr="00E36C44">
              <w:rPr>
                <w:rFonts w:asciiTheme="minorHAnsi" w:hAnsiTheme="minorHAnsi"/>
                <w:sz w:val="20"/>
                <w:szCs w:val="20"/>
              </w:rPr>
              <w:t>Biograce</w:t>
            </w:r>
            <w:proofErr w:type="spellEnd"/>
            <w:r>
              <w:rPr>
                <w:rFonts w:asciiTheme="minorHAnsi" w:hAnsiTheme="minorHAnsi"/>
                <w:sz w:val="20"/>
                <w:szCs w:val="20"/>
              </w:rPr>
              <w:t>,</w:t>
            </w:r>
            <w:r w:rsidRPr="00E36C44">
              <w:rPr>
                <w:rFonts w:asciiTheme="minorHAnsi" w:hAnsiTheme="minorHAnsi"/>
                <w:sz w:val="20"/>
                <w:szCs w:val="20"/>
              </w:rPr>
              <w:t xml:space="preserve"> GREET </w:t>
            </w:r>
            <w:r>
              <w:rPr>
                <w:rFonts w:asciiTheme="minorHAnsi" w:hAnsiTheme="minorHAnsi"/>
                <w:sz w:val="20"/>
                <w:szCs w:val="20"/>
              </w:rPr>
              <w:t xml:space="preserve">and other models </w:t>
            </w:r>
            <w:r w:rsidRPr="00E36C44">
              <w:rPr>
                <w:rFonts w:asciiTheme="minorHAnsi" w:hAnsiTheme="minorHAnsi"/>
                <w:sz w:val="20"/>
                <w:szCs w:val="20"/>
              </w:rPr>
              <w:t xml:space="preserve">are useful </w:t>
            </w:r>
            <w:r>
              <w:rPr>
                <w:rFonts w:asciiTheme="minorHAnsi" w:hAnsiTheme="minorHAnsi"/>
                <w:sz w:val="20"/>
                <w:szCs w:val="20"/>
              </w:rPr>
              <w:t xml:space="preserve">tools </w:t>
            </w:r>
            <w:r w:rsidRPr="00E36C44">
              <w:rPr>
                <w:rFonts w:asciiTheme="minorHAnsi" w:hAnsiTheme="minorHAnsi"/>
                <w:sz w:val="20"/>
                <w:szCs w:val="20"/>
              </w:rPr>
              <w:t xml:space="preserve"> to be used</w:t>
            </w:r>
            <w:r>
              <w:rPr>
                <w:rFonts w:asciiTheme="minorHAnsi" w:hAnsiTheme="minorHAnsi"/>
                <w:sz w:val="20"/>
                <w:szCs w:val="20"/>
              </w:rPr>
              <w:t xml:space="preserve">, because methods and background data are already included </w:t>
            </w:r>
          </w:p>
        </w:tc>
        <w:tc>
          <w:tcPr>
            <w:tcW w:w="3119" w:type="dxa"/>
          </w:tcPr>
          <w:p w:rsidR="00E36C44"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Yes relevant.</w:t>
            </w:r>
          </w:p>
          <w:p w:rsidR="00E36C44" w:rsidRDefault="00E36C44" w:rsidP="00E36C44">
            <w:pPr>
              <w:pStyle w:val="Default"/>
              <w:numPr>
                <w:ilvl w:val="0"/>
                <w:numId w:val="23"/>
              </w:numPr>
              <w:spacing w:after="120"/>
              <w:rPr>
                <w:rFonts w:asciiTheme="minorHAnsi" w:hAnsiTheme="minorHAnsi"/>
                <w:sz w:val="20"/>
                <w:szCs w:val="20"/>
              </w:rPr>
            </w:pPr>
            <w:r>
              <w:rPr>
                <w:rFonts w:asciiTheme="minorHAnsi" w:hAnsiTheme="minorHAnsi"/>
                <w:sz w:val="20"/>
                <w:szCs w:val="20"/>
              </w:rPr>
              <w:t>For training on methodology</w:t>
            </w:r>
          </w:p>
          <w:p w:rsidR="00E36C44" w:rsidRPr="005A5C0A" w:rsidRDefault="00E36C44" w:rsidP="00E36C44">
            <w:pPr>
              <w:pStyle w:val="Default"/>
              <w:numPr>
                <w:ilvl w:val="0"/>
                <w:numId w:val="23"/>
              </w:numPr>
              <w:spacing w:after="120"/>
              <w:rPr>
                <w:rFonts w:asciiTheme="minorHAnsi" w:hAnsiTheme="minorHAnsi"/>
                <w:sz w:val="20"/>
                <w:szCs w:val="20"/>
              </w:rPr>
            </w:pPr>
            <w:r>
              <w:rPr>
                <w:rFonts w:asciiTheme="minorHAnsi" w:hAnsiTheme="minorHAnsi"/>
                <w:sz w:val="20"/>
                <w:szCs w:val="20"/>
              </w:rPr>
              <w:t>For generation of country specific data</w:t>
            </w:r>
          </w:p>
        </w:tc>
        <w:tc>
          <w:tcPr>
            <w:tcW w:w="1817" w:type="dxa"/>
          </w:tcPr>
          <w:p w:rsidR="00625744" w:rsidRPr="005A5C0A" w:rsidRDefault="00E36C44" w:rsidP="00E36C44">
            <w:pPr>
              <w:pStyle w:val="Default"/>
              <w:spacing w:after="120"/>
              <w:rPr>
                <w:rFonts w:asciiTheme="minorHAnsi" w:hAnsiTheme="minorHAnsi"/>
                <w:sz w:val="20"/>
                <w:szCs w:val="20"/>
              </w:rPr>
            </w:pPr>
            <w:r>
              <w:rPr>
                <w:rFonts w:asciiTheme="minorHAnsi" w:hAnsiTheme="minorHAnsi"/>
                <w:sz w:val="20"/>
                <w:szCs w:val="20"/>
              </w:rPr>
              <w:t>The issue imported/exported biomass for energy  has to be solved.</w:t>
            </w:r>
          </w:p>
        </w:tc>
        <w:tc>
          <w:tcPr>
            <w:tcW w:w="2520" w:type="dxa"/>
          </w:tcPr>
          <w:p w:rsidR="00625744" w:rsidRPr="00D12F31" w:rsidRDefault="00625744" w:rsidP="008F6DD5">
            <w:pPr>
              <w:pStyle w:val="Default"/>
              <w:spacing w:after="120"/>
              <w:rPr>
                <w:rFonts w:asciiTheme="minorHAnsi" w:hAnsiTheme="minorHAnsi"/>
                <w:sz w:val="20"/>
                <w:szCs w:val="20"/>
              </w:rPr>
            </w:pP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 xml:space="preserve">2. Soil quality </w:t>
            </w:r>
          </w:p>
        </w:tc>
        <w:tc>
          <w:tcPr>
            <w:tcW w:w="3068" w:type="dxa"/>
          </w:tcPr>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1) More guidance needed on the type of measurement i.e. how many centimeters down the level of the land.</w:t>
            </w:r>
          </w:p>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2) Concentrate on hot spots.</w:t>
            </w:r>
          </w:p>
        </w:tc>
        <w:tc>
          <w:tcPr>
            <w:tcW w:w="2976" w:type="dxa"/>
          </w:tcPr>
          <w:p w:rsidR="00625744" w:rsidRDefault="00625744" w:rsidP="008F6DD5">
            <w:pPr>
              <w:spacing w:after="120"/>
              <w:rPr>
                <w:sz w:val="20"/>
                <w:szCs w:val="20"/>
              </w:rPr>
            </w:pPr>
            <w:r w:rsidRPr="005A5C0A">
              <w:rPr>
                <w:sz w:val="20"/>
                <w:szCs w:val="20"/>
              </w:rPr>
              <w:t xml:space="preserve">1) </w:t>
            </w:r>
            <w:r w:rsidR="00E36C44">
              <w:rPr>
                <w:sz w:val="20"/>
                <w:szCs w:val="20"/>
              </w:rPr>
              <w:t>mostly l</w:t>
            </w:r>
            <w:r w:rsidRPr="005A5C0A">
              <w:rPr>
                <w:sz w:val="20"/>
                <w:szCs w:val="20"/>
              </w:rPr>
              <w:t>ack of data</w:t>
            </w:r>
          </w:p>
          <w:p w:rsidR="00E36C44" w:rsidRPr="005A5C0A" w:rsidRDefault="00E36C44" w:rsidP="008F6DD5">
            <w:pPr>
              <w:spacing w:after="120"/>
              <w:rPr>
                <w:sz w:val="20"/>
                <w:szCs w:val="20"/>
              </w:rPr>
            </w:pPr>
            <w:r>
              <w:rPr>
                <w:sz w:val="20"/>
                <w:szCs w:val="20"/>
              </w:rPr>
              <w:t>2) where data bases exist, data are often under privacy protection</w:t>
            </w:r>
          </w:p>
          <w:p w:rsidR="00625744" w:rsidRPr="005A5C0A" w:rsidRDefault="00625744" w:rsidP="008F6DD5">
            <w:pPr>
              <w:spacing w:after="120"/>
              <w:rPr>
                <w:sz w:val="20"/>
                <w:szCs w:val="20"/>
              </w:rPr>
            </w:pPr>
            <w:r w:rsidRPr="005A5C0A">
              <w:rPr>
                <w:sz w:val="20"/>
                <w:szCs w:val="20"/>
              </w:rPr>
              <w:t>2) Confidentiality agreements for data for data may be necessary.</w:t>
            </w:r>
          </w:p>
        </w:tc>
        <w:tc>
          <w:tcPr>
            <w:tcW w:w="3119" w:type="dxa"/>
          </w:tcPr>
          <w:p w:rsidR="00625744" w:rsidRPr="005A5C0A" w:rsidRDefault="00625744" w:rsidP="008F6DD5">
            <w:pPr>
              <w:pStyle w:val="Default"/>
              <w:spacing w:after="120"/>
              <w:rPr>
                <w:rFonts w:asciiTheme="minorHAnsi" w:hAnsiTheme="minorHAnsi"/>
                <w:sz w:val="20"/>
                <w:szCs w:val="20"/>
              </w:rPr>
            </w:pPr>
          </w:p>
        </w:tc>
        <w:tc>
          <w:tcPr>
            <w:tcW w:w="1817" w:type="dxa"/>
          </w:tcPr>
          <w:p w:rsidR="00625744" w:rsidRPr="005A5C0A" w:rsidRDefault="007C22CC" w:rsidP="008F6DD5">
            <w:pPr>
              <w:pStyle w:val="Default"/>
              <w:spacing w:after="120"/>
              <w:rPr>
                <w:rFonts w:asciiTheme="minorHAnsi" w:hAnsiTheme="minorHAnsi"/>
                <w:sz w:val="20"/>
                <w:szCs w:val="20"/>
              </w:rPr>
            </w:pPr>
            <w:r>
              <w:rPr>
                <w:rFonts w:asciiTheme="minorHAnsi" w:hAnsiTheme="minorHAnsi"/>
                <w:sz w:val="20"/>
                <w:szCs w:val="20"/>
              </w:rPr>
              <w:t>Mapping of soil quality needed to identify hot spots</w:t>
            </w:r>
          </w:p>
        </w:tc>
        <w:tc>
          <w:tcPr>
            <w:tcW w:w="2520" w:type="dxa"/>
          </w:tcPr>
          <w:p w:rsidR="00625744" w:rsidRDefault="007C22CC" w:rsidP="00D0533A">
            <w:pPr>
              <w:pStyle w:val="Default"/>
              <w:spacing w:after="120"/>
              <w:rPr>
                <w:rFonts w:asciiTheme="minorHAnsi" w:hAnsiTheme="minorHAnsi"/>
                <w:sz w:val="20"/>
                <w:szCs w:val="20"/>
              </w:rPr>
            </w:pPr>
            <w:r>
              <w:rPr>
                <w:rFonts w:asciiTheme="minorHAnsi" w:hAnsiTheme="minorHAnsi"/>
                <w:sz w:val="20"/>
                <w:szCs w:val="20"/>
              </w:rPr>
              <w:t>Some proxies to be considered:</w:t>
            </w:r>
          </w:p>
          <w:p w:rsidR="00000000" w:rsidRDefault="007C22CC" w:rsidP="00D0533A">
            <w:pPr>
              <w:pStyle w:val="Default"/>
              <w:numPr>
                <w:ilvl w:val="0"/>
                <w:numId w:val="3"/>
              </w:numPr>
              <w:spacing w:after="120"/>
              <w:ind w:left="343" w:firstLine="0"/>
              <w:rPr>
                <w:rFonts w:asciiTheme="minorHAnsi" w:hAnsiTheme="minorHAnsi"/>
                <w:sz w:val="20"/>
                <w:szCs w:val="20"/>
              </w:rPr>
            </w:pPr>
            <w:r>
              <w:rPr>
                <w:rFonts w:asciiTheme="minorHAnsi" w:hAnsiTheme="minorHAnsi"/>
                <w:sz w:val="20"/>
                <w:szCs w:val="20"/>
              </w:rPr>
              <w:t>Organic farming (should be protective in most cases)</w:t>
            </w:r>
          </w:p>
          <w:p w:rsidR="00000000" w:rsidRDefault="007C22CC" w:rsidP="00D0533A">
            <w:pPr>
              <w:pStyle w:val="Default"/>
              <w:numPr>
                <w:ilvl w:val="0"/>
                <w:numId w:val="3"/>
              </w:numPr>
              <w:spacing w:after="120"/>
              <w:ind w:left="343" w:firstLine="0"/>
              <w:rPr>
                <w:rFonts w:asciiTheme="minorHAnsi" w:hAnsiTheme="minorHAnsi"/>
                <w:sz w:val="20"/>
                <w:szCs w:val="20"/>
              </w:rPr>
            </w:pPr>
            <w:r>
              <w:rPr>
                <w:rFonts w:asciiTheme="minorHAnsi" w:hAnsiTheme="minorHAnsi"/>
                <w:sz w:val="20"/>
                <w:szCs w:val="20"/>
              </w:rPr>
              <w:t>Any certificate referring to good practice acc. to soil</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3. Harvest levels of wood resources</w:t>
            </w:r>
          </w:p>
        </w:tc>
        <w:tc>
          <w:tcPr>
            <w:tcW w:w="3068" w:type="dxa"/>
          </w:tcPr>
          <w:p w:rsidR="007C22CC" w:rsidRDefault="00625744" w:rsidP="008F6DD5">
            <w:pPr>
              <w:spacing w:after="120"/>
              <w:rPr>
                <w:sz w:val="20"/>
                <w:szCs w:val="20"/>
              </w:rPr>
            </w:pPr>
            <w:r w:rsidRPr="005A5C0A">
              <w:rPr>
                <w:sz w:val="20"/>
                <w:szCs w:val="20"/>
              </w:rPr>
              <w:t>1) A better definition of modern bioenergy is necessary to specify if wood fuel is considered modern.</w:t>
            </w:r>
            <w:r w:rsidR="007C22CC">
              <w:rPr>
                <w:sz w:val="20"/>
                <w:szCs w:val="20"/>
              </w:rPr>
              <w:t xml:space="preserve"> (</w:t>
            </w:r>
            <w:r w:rsidR="007C22CC" w:rsidRPr="007C22CC">
              <w:rPr>
                <w:sz w:val="20"/>
                <w:szCs w:val="20"/>
              </w:rPr>
              <w:sym w:font="Wingdings" w:char="F0E0"/>
            </w:r>
            <w:r w:rsidR="007C22CC">
              <w:rPr>
                <w:sz w:val="20"/>
                <w:szCs w:val="20"/>
              </w:rPr>
              <w:t xml:space="preserve"> what about charcoal?)</w:t>
            </w:r>
          </w:p>
          <w:p w:rsidR="002314C2" w:rsidRPr="005A5C0A" w:rsidRDefault="002314C2" w:rsidP="008F6DD5">
            <w:pPr>
              <w:spacing w:after="120"/>
              <w:rPr>
                <w:sz w:val="20"/>
                <w:szCs w:val="20"/>
              </w:rPr>
            </w:pPr>
            <w:r>
              <w:rPr>
                <w:sz w:val="20"/>
                <w:szCs w:val="20"/>
              </w:rPr>
              <w:t>2.) focus on incremental growth</w:t>
            </w:r>
          </w:p>
        </w:tc>
        <w:tc>
          <w:tcPr>
            <w:tcW w:w="2976" w:type="dxa"/>
          </w:tcPr>
          <w:p w:rsidR="00625744" w:rsidRPr="005A5C0A" w:rsidRDefault="00625744" w:rsidP="008F6DD5">
            <w:pPr>
              <w:spacing w:after="120"/>
              <w:rPr>
                <w:sz w:val="20"/>
                <w:szCs w:val="20"/>
              </w:rPr>
            </w:pPr>
            <w:r w:rsidRPr="005A5C0A">
              <w:rPr>
                <w:sz w:val="20"/>
                <w:szCs w:val="20"/>
              </w:rPr>
              <w:t>1) Lack of data with forest inventory.</w:t>
            </w:r>
          </w:p>
          <w:p w:rsidR="002314C2" w:rsidRPr="005A5C0A" w:rsidRDefault="00625744" w:rsidP="008F6DD5">
            <w:pPr>
              <w:spacing w:after="120"/>
              <w:rPr>
                <w:sz w:val="20"/>
                <w:szCs w:val="20"/>
              </w:rPr>
            </w:pPr>
            <w:r w:rsidRPr="005A5C0A">
              <w:rPr>
                <w:sz w:val="20"/>
                <w:szCs w:val="20"/>
              </w:rPr>
              <w:t>2) A lot of wood is available and informally traded and not reflected in statistics.</w:t>
            </w:r>
          </w:p>
        </w:tc>
        <w:tc>
          <w:tcPr>
            <w:tcW w:w="3119" w:type="dxa"/>
          </w:tcPr>
          <w:p w:rsidR="00625744" w:rsidRPr="005A5C0A" w:rsidRDefault="00625744" w:rsidP="008F6DD5">
            <w:pPr>
              <w:spacing w:after="120"/>
              <w:rPr>
                <w:sz w:val="20"/>
                <w:szCs w:val="20"/>
              </w:rPr>
            </w:pPr>
          </w:p>
        </w:tc>
        <w:tc>
          <w:tcPr>
            <w:tcW w:w="1817" w:type="dxa"/>
          </w:tcPr>
          <w:p w:rsidR="00625744" w:rsidRPr="005A5C0A" w:rsidRDefault="00625744" w:rsidP="008F6DD5">
            <w:pPr>
              <w:spacing w:after="120"/>
              <w:rPr>
                <w:sz w:val="20"/>
                <w:szCs w:val="20"/>
              </w:rPr>
            </w:pPr>
          </w:p>
        </w:tc>
        <w:tc>
          <w:tcPr>
            <w:tcW w:w="2520" w:type="dxa"/>
          </w:tcPr>
          <w:p w:rsidR="00625744" w:rsidRPr="00D12F31" w:rsidRDefault="002314C2" w:rsidP="00D0533A">
            <w:pPr>
              <w:pStyle w:val="Default"/>
              <w:spacing w:after="120"/>
              <w:rPr>
                <w:rFonts w:asciiTheme="minorHAnsi" w:hAnsiTheme="minorHAnsi"/>
                <w:sz w:val="20"/>
                <w:szCs w:val="20"/>
              </w:rPr>
            </w:pPr>
            <w:r>
              <w:rPr>
                <w:rFonts w:asciiTheme="minorHAnsi" w:hAnsiTheme="minorHAnsi"/>
                <w:sz w:val="20"/>
                <w:szCs w:val="20"/>
              </w:rPr>
              <w:t>Connecting with REDD reports.</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 xml:space="preserve">4. Emissions of non- GHG air pollutants, </w:t>
            </w:r>
            <w:r>
              <w:rPr>
                <w:b/>
                <w:bCs/>
                <w:sz w:val="18"/>
                <w:szCs w:val="18"/>
              </w:rPr>
              <w:lastRenderedPageBreak/>
              <w:t xml:space="preserve">including air toxics </w:t>
            </w:r>
          </w:p>
        </w:tc>
        <w:tc>
          <w:tcPr>
            <w:tcW w:w="3068" w:type="dxa"/>
          </w:tcPr>
          <w:p w:rsidR="00625744" w:rsidRPr="005A5C0A" w:rsidRDefault="00625744" w:rsidP="008F6DD5">
            <w:pPr>
              <w:spacing w:after="120"/>
              <w:rPr>
                <w:sz w:val="20"/>
                <w:szCs w:val="20"/>
              </w:rPr>
            </w:pPr>
            <w:r w:rsidRPr="005A5C0A">
              <w:rPr>
                <w:sz w:val="20"/>
                <w:szCs w:val="20"/>
              </w:rPr>
              <w:lastRenderedPageBreak/>
              <w:t xml:space="preserve">1) Tremendous work is implied in the measurement of this indicator. As a result a good proxy would be </w:t>
            </w:r>
            <w:r w:rsidRPr="005A5C0A">
              <w:rPr>
                <w:sz w:val="20"/>
                <w:szCs w:val="20"/>
              </w:rPr>
              <w:lastRenderedPageBreak/>
              <w:t xml:space="preserve">sufficient to produce good data. </w:t>
            </w:r>
          </w:p>
          <w:p w:rsidR="00625744" w:rsidRPr="005A5C0A" w:rsidRDefault="00625744" w:rsidP="008F6DD5">
            <w:pPr>
              <w:spacing w:after="120"/>
              <w:rPr>
                <w:sz w:val="20"/>
                <w:szCs w:val="20"/>
              </w:rPr>
            </w:pPr>
            <w:r w:rsidRPr="005A5C0A">
              <w:rPr>
                <w:sz w:val="20"/>
                <w:szCs w:val="20"/>
              </w:rPr>
              <w:t>2) If standards (regional and national) are available, these could be used as a basis.</w:t>
            </w:r>
          </w:p>
        </w:tc>
        <w:tc>
          <w:tcPr>
            <w:tcW w:w="2976" w:type="dxa"/>
          </w:tcPr>
          <w:p w:rsidR="00625744" w:rsidRDefault="00625744" w:rsidP="008F6DD5">
            <w:pPr>
              <w:spacing w:after="120"/>
              <w:rPr>
                <w:sz w:val="20"/>
                <w:szCs w:val="20"/>
              </w:rPr>
            </w:pPr>
            <w:r w:rsidRPr="005A5C0A">
              <w:rPr>
                <w:sz w:val="20"/>
                <w:szCs w:val="20"/>
              </w:rPr>
              <w:lastRenderedPageBreak/>
              <w:t>1) Default values are very good to be used for this indicator. Actual values may also play a big role.</w:t>
            </w:r>
          </w:p>
          <w:p w:rsidR="002314C2" w:rsidRPr="005A5C0A" w:rsidRDefault="00D0533A" w:rsidP="008F6DD5">
            <w:pPr>
              <w:spacing w:after="120"/>
              <w:rPr>
                <w:sz w:val="20"/>
                <w:szCs w:val="20"/>
              </w:rPr>
            </w:pPr>
            <w:r>
              <w:rPr>
                <w:sz w:val="20"/>
                <w:szCs w:val="20"/>
              </w:rPr>
              <w:lastRenderedPageBreak/>
              <w:t>2</w:t>
            </w:r>
            <w:r w:rsidR="002314C2">
              <w:rPr>
                <w:sz w:val="20"/>
                <w:szCs w:val="20"/>
              </w:rPr>
              <w:t>) air toxics are crucial, normally no data and defaults are too rough.</w:t>
            </w:r>
          </w:p>
        </w:tc>
        <w:tc>
          <w:tcPr>
            <w:tcW w:w="3119" w:type="dxa"/>
          </w:tcPr>
          <w:p w:rsidR="00625744" w:rsidRPr="005A5C0A" w:rsidRDefault="00625744" w:rsidP="008F6DD5">
            <w:pPr>
              <w:spacing w:after="120"/>
              <w:rPr>
                <w:sz w:val="20"/>
                <w:szCs w:val="20"/>
              </w:rPr>
            </w:pPr>
          </w:p>
        </w:tc>
        <w:tc>
          <w:tcPr>
            <w:tcW w:w="1817" w:type="dxa"/>
          </w:tcPr>
          <w:p w:rsidR="00625744" w:rsidRPr="005A5C0A" w:rsidRDefault="00625744" w:rsidP="008F6DD5">
            <w:pPr>
              <w:spacing w:after="120"/>
              <w:rPr>
                <w:sz w:val="20"/>
                <w:szCs w:val="20"/>
              </w:rPr>
            </w:pPr>
          </w:p>
        </w:tc>
        <w:tc>
          <w:tcPr>
            <w:tcW w:w="2520" w:type="dxa"/>
          </w:tcPr>
          <w:p w:rsidR="00625744" w:rsidRPr="00D12F31" w:rsidRDefault="00625744" w:rsidP="008F6DD5">
            <w:pPr>
              <w:pStyle w:val="Default"/>
              <w:spacing w:after="120"/>
              <w:rPr>
                <w:rFonts w:asciiTheme="minorHAnsi" w:hAnsiTheme="minorHAnsi"/>
                <w:sz w:val="20"/>
                <w:szCs w:val="20"/>
              </w:rPr>
            </w:pPr>
          </w:p>
        </w:tc>
      </w:tr>
      <w:tr w:rsidR="00625744" w:rsidRPr="005D5ED0" w:rsidTr="008F6DD5">
        <w:tc>
          <w:tcPr>
            <w:tcW w:w="1980" w:type="dxa"/>
            <w:vAlign w:val="center"/>
          </w:tcPr>
          <w:p w:rsidR="00625744" w:rsidRPr="003736FE" w:rsidRDefault="00625744" w:rsidP="008F6DD5">
            <w:pPr>
              <w:pStyle w:val="Default"/>
              <w:spacing w:before="480" w:after="480"/>
              <w:rPr>
                <w:b/>
                <w:bCs/>
                <w:sz w:val="18"/>
                <w:szCs w:val="18"/>
              </w:rPr>
            </w:pPr>
            <w:r w:rsidRPr="003736FE">
              <w:rPr>
                <w:b/>
                <w:bCs/>
                <w:sz w:val="18"/>
                <w:szCs w:val="18"/>
              </w:rPr>
              <w:lastRenderedPageBreak/>
              <w:t xml:space="preserve">5. </w:t>
            </w:r>
            <w:r>
              <w:rPr>
                <w:b/>
                <w:bCs/>
                <w:sz w:val="18"/>
                <w:szCs w:val="18"/>
              </w:rPr>
              <w:t>Water use and efficiency</w:t>
            </w:r>
          </w:p>
        </w:tc>
        <w:tc>
          <w:tcPr>
            <w:tcW w:w="3068" w:type="dxa"/>
          </w:tcPr>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1) Field measurement is required for this indicator.</w:t>
            </w:r>
          </w:p>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 xml:space="preserve">2) It is suggested not to use national </w:t>
            </w:r>
            <w:r w:rsidR="003C50CF">
              <w:rPr>
                <w:rFonts w:asciiTheme="minorHAnsi" w:hAnsiTheme="minorHAnsi"/>
                <w:sz w:val="20"/>
                <w:szCs w:val="20"/>
              </w:rPr>
              <w:t xml:space="preserve">average </w:t>
            </w:r>
            <w:r w:rsidRPr="005A5C0A">
              <w:rPr>
                <w:rFonts w:asciiTheme="minorHAnsi" w:hAnsiTheme="minorHAnsi"/>
                <w:sz w:val="20"/>
                <w:szCs w:val="20"/>
              </w:rPr>
              <w:t>data because too general data.</w:t>
            </w:r>
          </w:p>
          <w:p w:rsidR="00625744" w:rsidRPr="005A5C0A" w:rsidRDefault="00625744" w:rsidP="008F6DD5">
            <w:pPr>
              <w:pStyle w:val="Default"/>
              <w:spacing w:after="120"/>
              <w:rPr>
                <w:rFonts w:asciiTheme="minorHAnsi" w:hAnsiTheme="minorHAnsi"/>
                <w:sz w:val="20"/>
                <w:szCs w:val="20"/>
              </w:rPr>
            </w:pPr>
            <w:r w:rsidRPr="005A5C0A">
              <w:rPr>
                <w:rFonts w:asciiTheme="minorHAnsi" w:hAnsiTheme="minorHAnsi"/>
                <w:sz w:val="20"/>
                <w:szCs w:val="20"/>
              </w:rPr>
              <w:t>3) so far withdraws have been measured and not real impacts. As a result guidance on how to measure impacts is needed.</w:t>
            </w:r>
          </w:p>
        </w:tc>
        <w:tc>
          <w:tcPr>
            <w:tcW w:w="2976" w:type="dxa"/>
          </w:tcPr>
          <w:p w:rsidR="003C50CF" w:rsidRDefault="00D0533A" w:rsidP="008F6DD5">
            <w:pPr>
              <w:pStyle w:val="Default"/>
              <w:spacing w:after="120"/>
              <w:rPr>
                <w:rFonts w:asciiTheme="minorHAnsi" w:hAnsiTheme="minorHAnsi"/>
                <w:sz w:val="20"/>
                <w:szCs w:val="20"/>
              </w:rPr>
            </w:pPr>
            <w:r>
              <w:rPr>
                <w:rFonts w:asciiTheme="minorHAnsi" w:hAnsiTheme="minorHAnsi"/>
                <w:sz w:val="20"/>
                <w:szCs w:val="20"/>
              </w:rPr>
              <w:t xml:space="preserve">1) </w:t>
            </w:r>
            <w:r w:rsidR="003C50CF">
              <w:rPr>
                <w:rFonts w:asciiTheme="minorHAnsi" w:hAnsiTheme="minorHAnsi"/>
                <w:sz w:val="20"/>
                <w:szCs w:val="20"/>
              </w:rPr>
              <w:t>Maps about water availability are there</w:t>
            </w:r>
            <w:r w:rsidR="003C50CF">
              <w:rPr>
                <w:rFonts w:asciiTheme="minorHAnsi" w:hAnsiTheme="minorHAnsi"/>
                <w:sz w:val="20"/>
                <w:szCs w:val="20"/>
              </w:rPr>
              <w:br/>
            </w:r>
            <w:r w:rsidR="003C50CF" w:rsidRPr="003C50CF">
              <w:rPr>
                <w:rFonts w:asciiTheme="minorHAnsi" w:hAnsiTheme="minorHAnsi"/>
                <w:sz w:val="20"/>
                <w:szCs w:val="20"/>
              </w:rPr>
              <w:sym w:font="Wingdings" w:char="F0E0"/>
            </w:r>
            <w:r w:rsidR="003C50CF">
              <w:rPr>
                <w:rFonts w:asciiTheme="minorHAnsi" w:hAnsiTheme="minorHAnsi"/>
                <w:sz w:val="20"/>
                <w:szCs w:val="20"/>
              </w:rPr>
              <w:t xml:space="preserve"> hot spots detectable </w:t>
            </w:r>
          </w:p>
          <w:p w:rsidR="00625744" w:rsidRPr="005A5C0A" w:rsidRDefault="003C50CF" w:rsidP="008F6DD5">
            <w:pPr>
              <w:pStyle w:val="Default"/>
              <w:spacing w:after="120"/>
              <w:rPr>
                <w:rFonts w:asciiTheme="minorHAnsi" w:hAnsiTheme="minorHAnsi"/>
                <w:sz w:val="20"/>
                <w:szCs w:val="20"/>
              </w:rPr>
            </w:pPr>
            <w:r w:rsidRPr="003C50CF">
              <w:rPr>
                <w:rFonts w:asciiTheme="minorHAnsi" w:hAnsiTheme="minorHAnsi"/>
                <w:sz w:val="20"/>
                <w:szCs w:val="20"/>
              </w:rPr>
              <w:sym w:font="Wingdings" w:char="F0E0"/>
            </w:r>
            <w:r>
              <w:rPr>
                <w:rFonts w:asciiTheme="minorHAnsi" w:hAnsiTheme="minorHAnsi"/>
                <w:sz w:val="20"/>
                <w:szCs w:val="20"/>
              </w:rPr>
              <w:t xml:space="preserve"> need ground </w:t>
            </w:r>
            <w:proofErr w:type="spellStart"/>
            <w:r>
              <w:rPr>
                <w:rFonts w:asciiTheme="minorHAnsi" w:hAnsiTheme="minorHAnsi"/>
                <w:sz w:val="20"/>
                <w:szCs w:val="20"/>
              </w:rPr>
              <w:t>truthing</w:t>
            </w:r>
            <w:proofErr w:type="spellEnd"/>
          </w:p>
        </w:tc>
        <w:tc>
          <w:tcPr>
            <w:tcW w:w="3119" w:type="dxa"/>
          </w:tcPr>
          <w:p w:rsidR="00625744" w:rsidRPr="005A5C0A" w:rsidRDefault="00625744" w:rsidP="008F6DD5">
            <w:pPr>
              <w:pStyle w:val="Default"/>
              <w:spacing w:after="120"/>
              <w:rPr>
                <w:rFonts w:asciiTheme="minorHAnsi" w:hAnsiTheme="minorHAnsi"/>
                <w:sz w:val="20"/>
                <w:szCs w:val="20"/>
              </w:rPr>
            </w:pPr>
          </w:p>
        </w:tc>
        <w:tc>
          <w:tcPr>
            <w:tcW w:w="1817" w:type="dxa"/>
          </w:tcPr>
          <w:p w:rsidR="00625744" w:rsidRPr="005A5C0A" w:rsidRDefault="00625744" w:rsidP="008F6DD5">
            <w:pPr>
              <w:pStyle w:val="Default"/>
              <w:spacing w:after="120"/>
              <w:rPr>
                <w:rFonts w:asciiTheme="minorHAnsi" w:hAnsiTheme="minorHAnsi"/>
                <w:sz w:val="20"/>
                <w:szCs w:val="20"/>
              </w:rPr>
            </w:pPr>
          </w:p>
        </w:tc>
        <w:tc>
          <w:tcPr>
            <w:tcW w:w="2520" w:type="dxa"/>
          </w:tcPr>
          <w:p w:rsidR="00625744" w:rsidRDefault="00625744" w:rsidP="00861B72">
            <w:pPr>
              <w:pStyle w:val="Default"/>
              <w:numPr>
                <w:ilvl w:val="0"/>
                <w:numId w:val="6"/>
              </w:numPr>
              <w:spacing w:after="120"/>
              <w:ind w:left="59" w:firstLine="0"/>
              <w:rPr>
                <w:rFonts w:asciiTheme="minorHAnsi" w:hAnsiTheme="minorHAnsi"/>
                <w:sz w:val="20"/>
                <w:szCs w:val="20"/>
              </w:rPr>
            </w:pPr>
            <w:r w:rsidRPr="00D12F31">
              <w:rPr>
                <w:rFonts w:asciiTheme="minorHAnsi" w:hAnsiTheme="minorHAnsi"/>
                <w:sz w:val="20"/>
                <w:szCs w:val="20"/>
              </w:rPr>
              <w:t>This indicator has been measure so far in several countries, however it would be interesting to see the results of the measurement of this indicator in more vulnerable countries from a water use and efficiency point of view.</w:t>
            </w:r>
          </w:p>
          <w:p w:rsidR="003C50CF" w:rsidRPr="00D12F31" w:rsidRDefault="003C50CF" w:rsidP="00861B72">
            <w:pPr>
              <w:pStyle w:val="Default"/>
              <w:numPr>
                <w:ilvl w:val="0"/>
                <w:numId w:val="6"/>
              </w:numPr>
              <w:spacing w:after="120"/>
              <w:ind w:left="59" w:firstLine="0"/>
              <w:rPr>
                <w:rFonts w:asciiTheme="minorHAnsi" w:hAnsiTheme="minorHAnsi"/>
                <w:sz w:val="20"/>
                <w:szCs w:val="20"/>
              </w:rPr>
            </w:pPr>
            <w:r>
              <w:rPr>
                <w:rFonts w:asciiTheme="minorHAnsi" w:hAnsiTheme="minorHAnsi"/>
                <w:sz w:val="20"/>
                <w:szCs w:val="20"/>
              </w:rPr>
              <w:t>Should evapotranspiration be considered (in addition to withdrawal)</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6. Water quality</w:t>
            </w:r>
          </w:p>
        </w:tc>
        <w:tc>
          <w:tcPr>
            <w:tcW w:w="3068" w:type="dxa"/>
          </w:tcPr>
          <w:p w:rsidR="00625744" w:rsidRDefault="00625744" w:rsidP="008F6DD5">
            <w:pPr>
              <w:spacing w:after="120"/>
              <w:rPr>
                <w:sz w:val="20"/>
                <w:szCs w:val="20"/>
              </w:rPr>
            </w:pPr>
            <w:r>
              <w:rPr>
                <w:sz w:val="20"/>
                <w:szCs w:val="20"/>
              </w:rPr>
              <w:t xml:space="preserve">1) </w:t>
            </w:r>
            <w:r w:rsidR="004B0196">
              <w:rPr>
                <w:sz w:val="20"/>
                <w:szCs w:val="20"/>
              </w:rPr>
              <w:t>The indicator requires m</w:t>
            </w:r>
            <w:r>
              <w:rPr>
                <w:sz w:val="20"/>
                <w:szCs w:val="20"/>
              </w:rPr>
              <w:t xml:space="preserve">easurement of </w:t>
            </w:r>
            <w:r w:rsidR="004B0196">
              <w:rPr>
                <w:sz w:val="20"/>
                <w:szCs w:val="20"/>
              </w:rPr>
              <w:t>nutrients/</w:t>
            </w:r>
            <w:r>
              <w:rPr>
                <w:sz w:val="20"/>
                <w:szCs w:val="20"/>
              </w:rPr>
              <w:t xml:space="preserve">pesticides that reaches </w:t>
            </w:r>
            <w:r w:rsidR="004B0196">
              <w:rPr>
                <w:sz w:val="20"/>
                <w:szCs w:val="20"/>
              </w:rPr>
              <w:t xml:space="preserve">a water body </w:t>
            </w:r>
            <w:r>
              <w:rPr>
                <w:sz w:val="20"/>
                <w:szCs w:val="20"/>
              </w:rPr>
              <w:t xml:space="preserve"> </w:t>
            </w:r>
            <w:r w:rsidR="004B0196">
              <w:rPr>
                <w:sz w:val="20"/>
                <w:szCs w:val="20"/>
              </w:rPr>
              <w:t>T</w:t>
            </w:r>
            <w:r>
              <w:rPr>
                <w:sz w:val="20"/>
                <w:szCs w:val="20"/>
              </w:rPr>
              <w:t>his implied a very complicated measurement</w:t>
            </w:r>
            <w:r w:rsidR="004B0196">
              <w:rPr>
                <w:sz w:val="20"/>
                <w:szCs w:val="20"/>
              </w:rPr>
              <w:t xml:space="preserve"> and is mostly not feasible</w:t>
            </w:r>
            <w:r>
              <w:rPr>
                <w:sz w:val="20"/>
                <w:szCs w:val="20"/>
              </w:rPr>
              <w:t>.</w:t>
            </w:r>
          </w:p>
          <w:p w:rsidR="004B0196" w:rsidRPr="005A5C0A" w:rsidRDefault="004B0196" w:rsidP="008F6DD5">
            <w:pPr>
              <w:spacing w:after="120"/>
              <w:rPr>
                <w:sz w:val="20"/>
                <w:szCs w:val="20"/>
              </w:rPr>
            </w:pPr>
            <w:r>
              <w:rPr>
                <w:sz w:val="20"/>
                <w:szCs w:val="20"/>
              </w:rPr>
              <w:t xml:space="preserve">2) </w:t>
            </w:r>
            <w:r w:rsidR="00B424CD">
              <w:rPr>
                <w:sz w:val="20"/>
                <w:szCs w:val="20"/>
              </w:rPr>
              <w:t xml:space="preserve">Could a proxy for impact on quality be acceptable? </w:t>
            </w:r>
          </w:p>
        </w:tc>
        <w:tc>
          <w:tcPr>
            <w:tcW w:w="2976" w:type="dxa"/>
          </w:tcPr>
          <w:p w:rsidR="00625744" w:rsidRDefault="00D0533A" w:rsidP="004B0196">
            <w:pPr>
              <w:spacing w:after="120"/>
              <w:rPr>
                <w:sz w:val="20"/>
                <w:szCs w:val="20"/>
              </w:rPr>
            </w:pPr>
            <w:r>
              <w:rPr>
                <w:sz w:val="20"/>
                <w:szCs w:val="20"/>
              </w:rPr>
              <w:t xml:space="preserve">1) </w:t>
            </w:r>
            <w:r w:rsidR="004B0196">
              <w:rPr>
                <w:sz w:val="20"/>
                <w:szCs w:val="20"/>
              </w:rPr>
              <w:t>There should be data for application of fertilizers and pesticides at farm level, there might less data about pollution of water bodies  - there are merely data or even models to trace pollution back to the polluter.</w:t>
            </w:r>
          </w:p>
          <w:p w:rsidR="00B424CD" w:rsidRPr="005A5C0A" w:rsidRDefault="00B424CD" w:rsidP="004B0196">
            <w:pPr>
              <w:spacing w:after="120"/>
              <w:rPr>
                <w:sz w:val="20"/>
                <w:szCs w:val="20"/>
              </w:rPr>
            </w:pPr>
            <w:r>
              <w:rPr>
                <w:sz w:val="20"/>
                <w:szCs w:val="20"/>
              </w:rPr>
              <w:t>However: hot spots are detectable</w:t>
            </w:r>
          </w:p>
        </w:tc>
        <w:tc>
          <w:tcPr>
            <w:tcW w:w="3119" w:type="dxa"/>
          </w:tcPr>
          <w:p w:rsidR="00625744" w:rsidRPr="005A5C0A" w:rsidRDefault="00625744" w:rsidP="008F6DD5">
            <w:pPr>
              <w:spacing w:after="120"/>
              <w:rPr>
                <w:sz w:val="20"/>
                <w:szCs w:val="20"/>
              </w:rPr>
            </w:pPr>
          </w:p>
        </w:tc>
        <w:tc>
          <w:tcPr>
            <w:tcW w:w="1817" w:type="dxa"/>
          </w:tcPr>
          <w:p w:rsidR="00625744" w:rsidRPr="005A5C0A" w:rsidRDefault="00625744" w:rsidP="008F6DD5">
            <w:pPr>
              <w:spacing w:after="120"/>
              <w:rPr>
                <w:sz w:val="20"/>
                <w:szCs w:val="20"/>
              </w:rPr>
            </w:pPr>
          </w:p>
        </w:tc>
        <w:tc>
          <w:tcPr>
            <w:tcW w:w="2520" w:type="dxa"/>
          </w:tcPr>
          <w:p w:rsidR="00625744" w:rsidRPr="00D12F31" w:rsidRDefault="003C50CF" w:rsidP="00D0533A">
            <w:pPr>
              <w:pStyle w:val="Default"/>
              <w:numPr>
                <w:ilvl w:val="0"/>
                <w:numId w:val="24"/>
              </w:numPr>
              <w:spacing w:after="120"/>
              <w:ind w:left="59" w:firstLine="0"/>
              <w:rPr>
                <w:rFonts w:asciiTheme="minorHAnsi" w:hAnsiTheme="minorHAnsi"/>
                <w:sz w:val="20"/>
                <w:szCs w:val="20"/>
              </w:rPr>
            </w:pPr>
            <w:r>
              <w:rPr>
                <w:rFonts w:asciiTheme="minorHAnsi" w:hAnsiTheme="minorHAnsi"/>
                <w:sz w:val="20"/>
                <w:szCs w:val="20"/>
              </w:rPr>
              <w:t>Lesson could be learned from areas where within a water shed there is only one sort of cultivation (example: sugar cane in CO)</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t xml:space="preserve">7. Biological diversity in the landscape </w:t>
            </w:r>
          </w:p>
        </w:tc>
        <w:tc>
          <w:tcPr>
            <w:tcW w:w="3068" w:type="dxa"/>
          </w:tcPr>
          <w:p w:rsidR="00B424CD" w:rsidRDefault="00B424CD" w:rsidP="008F6DD5">
            <w:pPr>
              <w:spacing w:after="120"/>
              <w:rPr>
                <w:sz w:val="20"/>
                <w:szCs w:val="20"/>
              </w:rPr>
            </w:pPr>
            <w:r>
              <w:rPr>
                <w:sz w:val="20"/>
                <w:szCs w:val="20"/>
              </w:rPr>
              <w:t xml:space="preserve">1) </w:t>
            </w:r>
            <w:r w:rsidR="00625744">
              <w:rPr>
                <w:sz w:val="20"/>
                <w:szCs w:val="20"/>
              </w:rPr>
              <w:t xml:space="preserve"> </w:t>
            </w:r>
            <w:r>
              <w:rPr>
                <w:sz w:val="20"/>
                <w:szCs w:val="20"/>
              </w:rPr>
              <w:t xml:space="preserve">problem with Indicator 7.1: it is a violation of law </w:t>
            </w:r>
          </w:p>
          <w:p w:rsidR="00625744" w:rsidRDefault="00625744" w:rsidP="008F6DD5">
            <w:pPr>
              <w:spacing w:after="120"/>
              <w:rPr>
                <w:sz w:val="20"/>
                <w:szCs w:val="20"/>
              </w:rPr>
            </w:pPr>
            <w:r>
              <w:rPr>
                <w:sz w:val="20"/>
                <w:szCs w:val="20"/>
              </w:rPr>
              <w:t>1) indicator 7.2 does not capture the effects of invasive species due to bioenergy and non bioenergy related agriculture production.</w:t>
            </w:r>
          </w:p>
          <w:p w:rsidR="00625744" w:rsidRPr="005A5C0A" w:rsidRDefault="00625744" w:rsidP="008F6DD5">
            <w:pPr>
              <w:spacing w:after="120"/>
              <w:rPr>
                <w:sz w:val="20"/>
                <w:szCs w:val="20"/>
              </w:rPr>
            </w:pPr>
          </w:p>
        </w:tc>
        <w:tc>
          <w:tcPr>
            <w:tcW w:w="2976" w:type="dxa"/>
          </w:tcPr>
          <w:p w:rsidR="00625744" w:rsidRDefault="00625744" w:rsidP="00861B72">
            <w:pPr>
              <w:pStyle w:val="ListParagraph"/>
              <w:numPr>
                <w:ilvl w:val="0"/>
                <w:numId w:val="4"/>
              </w:numPr>
              <w:spacing w:after="120" w:line="240" w:lineRule="auto"/>
              <w:ind w:left="33" w:firstLine="0"/>
              <w:rPr>
                <w:sz w:val="20"/>
                <w:szCs w:val="20"/>
              </w:rPr>
            </w:pPr>
            <w:r>
              <w:rPr>
                <w:sz w:val="20"/>
                <w:szCs w:val="20"/>
              </w:rPr>
              <w:t>Indicator 7.1 is difficult to be measured because of areas that are protected by law</w:t>
            </w:r>
            <w:r w:rsidR="00B424CD">
              <w:rPr>
                <w:sz w:val="20"/>
                <w:szCs w:val="20"/>
              </w:rPr>
              <w:t>, there won’t be official data</w:t>
            </w:r>
            <w:r>
              <w:rPr>
                <w:sz w:val="20"/>
                <w:szCs w:val="20"/>
              </w:rPr>
              <w:t>.</w:t>
            </w:r>
          </w:p>
          <w:p w:rsidR="00625744" w:rsidRDefault="00625744" w:rsidP="008F6DD5">
            <w:pPr>
              <w:pStyle w:val="ListParagraph"/>
              <w:spacing w:after="120"/>
              <w:ind w:left="33"/>
              <w:rPr>
                <w:sz w:val="20"/>
                <w:szCs w:val="20"/>
              </w:rPr>
            </w:pPr>
          </w:p>
          <w:p w:rsidR="00625744" w:rsidRDefault="00625744" w:rsidP="00861B72">
            <w:pPr>
              <w:pStyle w:val="ListParagraph"/>
              <w:numPr>
                <w:ilvl w:val="0"/>
                <w:numId w:val="4"/>
              </w:numPr>
              <w:spacing w:after="120" w:line="240" w:lineRule="auto"/>
              <w:ind w:left="33" w:firstLine="0"/>
              <w:rPr>
                <w:sz w:val="20"/>
                <w:szCs w:val="20"/>
              </w:rPr>
            </w:pPr>
            <w:r>
              <w:rPr>
                <w:sz w:val="20"/>
                <w:szCs w:val="20"/>
              </w:rPr>
              <w:t>the definition of “nationally recognized or protected areas” is not enough. High conservation biological values are not always nationally recognized. This reflects on data appropriateness.</w:t>
            </w:r>
          </w:p>
          <w:p w:rsidR="00625744" w:rsidRPr="00D12F31" w:rsidRDefault="00625744" w:rsidP="008F6DD5">
            <w:pPr>
              <w:pStyle w:val="ListParagraph"/>
              <w:rPr>
                <w:sz w:val="20"/>
                <w:szCs w:val="20"/>
              </w:rPr>
            </w:pPr>
          </w:p>
          <w:p w:rsidR="00625744" w:rsidRPr="00D12F31" w:rsidRDefault="00625744" w:rsidP="00861B72">
            <w:pPr>
              <w:pStyle w:val="ListParagraph"/>
              <w:numPr>
                <w:ilvl w:val="0"/>
                <w:numId w:val="4"/>
              </w:numPr>
              <w:spacing w:after="120" w:line="240" w:lineRule="auto"/>
              <w:ind w:left="33" w:firstLine="0"/>
              <w:rPr>
                <w:sz w:val="20"/>
                <w:szCs w:val="20"/>
              </w:rPr>
            </w:pPr>
            <w:r>
              <w:rPr>
                <w:sz w:val="20"/>
                <w:szCs w:val="20"/>
              </w:rPr>
              <w:t>No major problems of data availability.</w:t>
            </w:r>
          </w:p>
        </w:tc>
        <w:tc>
          <w:tcPr>
            <w:tcW w:w="3119" w:type="dxa"/>
          </w:tcPr>
          <w:p w:rsidR="00625744" w:rsidRPr="005A5C0A" w:rsidRDefault="00B424CD" w:rsidP="008F6DD5">
            <w:pPr>
              <w:spacing w:after="120"/>
              <w:rPr>
                <w:sz w:val="20"/>
                <w:szCs w:val="20"/>
              </w:rPr>
            </w:pPr>
            <w:r>
              <w:rPr>
                <w:sz w:val="20"/>
                <w:szCs w:val="20"/>
              </w:rPr>
              <w:lastRenderedPageBreak/>
              <w:t>Need to strengthen capacity at local level</w:t>
            </w:r>
          </w:p>
        </w:tc>
        <w:tc>
          <w:tcPr>
            <w:tcW w:w="1817" w:type="dxa"/>
          </w:tcPr>
          <w:p w:rsidR="00625744" w:rsidRPr="005A5C0A" w:rsidRDefault="00625744" w:rsidP="008F6DD5">
            <w:pPr>
              <w:spacing w:after="120"/>
              <w:rPr>
                <w:sz w:val="20"/>
                <w:szCs w:val="20"/>
              </w:rPr>
            </w:pPr>
          </w:p>
        </w:tc>
        <w:tc>
          <w:tcPr>
            <w:tcW w:w="2520" w:type="dxa"/>
          </w:tcPr>
          <w:p w:rsidR="00625744" w:rsidRDefault="00625744" w:rsidP="00861B72">
            <w:pPr>
              <w:pStyle w:val="Default"/>
              <w:numPr>
                <w:ilvl w:val="0"/>
                <w:numId w:val="5"/>
              </w:numPr>
              <w:spacing w:after="120"/>
              <w:ind w:left="59" w:firstLine="0"/>
              <w:rPr>
                <w:rFonts w:asciiTheme="minorHAnsi" w:hAnsiTheme="minorHAnsi"/>
                <w:sz w:val="20"/>
                <w:szCs w:val="20"/>
              </w:rPr>
            </w:pPr>
            <w:r>
              <w:rPr>
                <w:rFonts w:asciiTheme="minorHAnsi" w:hAnsiTheme="minorHAnsi"/>
                <w:sz w:val="20"/>
                <w:szCs w:val="20"/>
              </w:rPr>
              <w:t>Reconsider revision of indicator 7.1 because some related activities would be not legal in some national contexts.</w:t>
            </w:r>
          </w:p>
          <w:p w:rsidR="00625744" w:rsidRPr="00D12F31" w:rsidRDefault="00625744" w:rsidP="00861B72">
            <w:pPr>
              <w:pStyle w:val="Default"/>
              <w:numPr>
                <w:ilvl w:val="0"/>
                <w:numId w:val="5"/>
              </w:numPr>
              <w:spacing w:after="120"/>
              <w:ind w:left="59" w:firstLine="0"/>
              <w:rPr>
                <w:rFonts w:asciiTheme="minorHAnsi" w:hAnsiTheme="minorHAnsi"/>
                <w:sz w:val="20"/>
                <w:szCs w:val="20"/>
              </w:rPr>
            </w:pPr>
            <w:r>
              <w:rPr>
                <w:rFonts w:asciiTheme="minorHAnsi" w:hAnsiTheme="minorHAnsi"/>
                <w:sz w:val="20"/>
                <w:szCs w:val="20"/>
              </w:rPr>
              <w:t xml:space="preserve">Need to use different language in the indicator in order not to lose the “non nationally recognized protected </w:t>
            </w:r>
            <w:r>
              <w:rPr>
                <w:rFonts w:asciiTheme="minorHAnsi" w:hAnsiTheme="minorHAnsi"/>
                <w:sz w:val="20"/>
                <w:szCs w:val="20"/>
              </w:rPr>
              <w:lastRenderedPageBreak/>
              <w:t>areas” in the measurement.</w:t>
            </w:r>
          </w:p>
        </w:tc>
      </w:tr>
      <w:tr w:rsidR="00625744" w:rsidTr="008F6DD5">
        <w:tc>
          <w:tcPr>
            <w:tcW w:w="1980" w:type="dxa"/>
            <w:vAlign w:val="center"/>
          </w:tcPr>
          <w:p w:rsidR="00625744" w:rsidRPr="003736FE" w:rsidRDefault="00625744" w:rsidP="008F6DD5">
            <w:pPr>
              <w:pStyle w:val="Default"/>
              <w:spacing w:before="480" w:after="480"/>
              <w:rPr>
                <w:sz w:val="18"/>
                <w:szCs w:val="18"/>
              </w:rPr>
            </w:pPr>
            <w:r>
              <w:rPr>
                <w:b/>
                <w:bCs/>
                <w:sz w:val="18"/>
                <w:szCs w:val="18"/>
              </w:rPr>
              <w:lastRenderedPageBreak/>
              <w:t>8. Land use and land-use change related to bioenergy feedstock production</w:t>
            </w:r>
          </w:p>
        </w:tc>
        <w:tc>
          <w:tcPr>
            <w:tcW w:w="3068" w:type="dxa"/>
          </w:tcPr>
          <w:p w:rsidR="00625744" w:rsidRDefault="00625744" w:rsidP="008F6DD5">
            <w:pPr>
              <w:spacing w:after="120"/>
              <w:rPr>
                <w:sz w:val="20"/>
                <w:szCs w:val="20"/>
              </w:rPr>
            </w:pPr>
            <w:r>
              <w:rPr>
                <w:sz w:val="20"/>
                <w:szCs w:val="20"/>
              </w:rPr>
              <w:t>1) Mapping technologies may help on this indicator.</w:t>
            </w:r>
          </w:p>
          <w:p w:rsidR="00625744" w:rsidRDefault="00625744" w:rsidP="008F6DD5">
            <w:pPr>
              <w:spacing w:after="120"/>
              <w:rPr>
                <w:sz w:val="20"/>
                <w:szCs w:val="20"/>
              </w:rPr>
            </w:pPr>
            <w:r>
              <w:rPr>
                <w:sz w:val="20"/>
                <w:szCs w:val="20"/>
              </w:rPr>
              <w:t>2) Difficulties to find impact directly referred to bioenergy production.</w:t>
            </w:r>
          </w:p>
          <w:p w:rsidR="00B424CD" w:rsidRPr="005A5C0A" w:rsidRDefault="00B424CD" w:rsidP="008F6DD5">
            <w:pPr>
              <w:spacing w:after="120"/>
              <w:rPr>
                <w:sz w:val="20"/>
                <w:szCs w:val="20"/>
              </w:rPr>
            </w:pPr>
            <w:r>
              <w:rPr>
                <w:sz w:val="20"/>
                <w:szCs w:val="20"/>
              </w:rPr>
              <w:t>3) consistent time frame important</w:t>
            </w:r>
          </w:p>
          <w:p w:rsidR="00625744" w:rsidRPr="005A5C0A" w:rsidRDefault="00625744" w:rsidP="008F6DD5">
            <w:pPr>
              <w:spacing w:after="120"/>
              <w:rPr>
                <w:sz w:val="20"/>
                <w:szCs w:val="20"/>
              </w:rPr>
            </w:pPr>
          </w:p>
        </w:tc>
        <w:tc>
          <w:tcPr>
            <w:tcW w:w="2976" w:type="dxa"/>
          </w:tcPr>
          <w:p w:rsidR="00625744" w:rsidRDefault="00625744" w:rsidP="00861B72">
            <w:pPr>
              <w:pStyle w:val="ListParagraph"/>
              <w:numPr>
                <w:ilvl w:val="0"/>
                <w:numId w:val="7"/>
              </w:numPr>
              <w:spacing w:after="120" w:line="240" w:lineRule="auto"/>
              <w:ind w:left="33" w:firstLine="0"/>
              <w:rPr>
                <w:sz w:val="20"/>
                <w:szCs w:val="20"/>
              </w:rPr>
            </w:pPr>
            <w:r>
              <w:rPr>
                <w:sz w:val="20"/>
                <w:szCs w:val="20"/>
              </w:rPr>
              <w:t>Data available are mostly relying on statistics, which could reduce the level of reflection of facts.</w:t>
            </w:r>
          </w:p>
          <w:p w:rsidR="00B424CD" w:rsidRPr="00D12F31" w:rsidRDefault="00B424CD" w:rsidP="00861B72">
            <w:pPr>
              <w:pStyle w:val="ListParagraph"/>
              <w:numPr>
                <w:ilvl w:val="0"/>
                <w:numId w:val="7"/>
              </w:numPr>
              <w:spacing w:after="120" w:line="240" w:lineRule="auto"/>
              <w:ind w:left="33" w:firstLine="0"/>
              <w:rPr>
                <w:sz w:val="20"/>
                <w:szCs w:val="20"/>
              </w:rPr>
            </w:pPr>
            <w:r>
              <w:rPr>
                <w:sz w:val="20"/>
                <w:szCs w:val="20"/>
              </w:rPr>
              <w:t>Remote sensing needed in cases where registered data bases are to rough</w:t>
            </w:r>
          </w:p>
        </w:tc>
        <w:tc>
          <w:tcPr>
            <w:tcW w:w="3119" w:type="dxa"/>
          </w:tcPr>
          <w:p w:rsidR="00625744" w:rsidRPr="005A5C0A" w:rsidRDefault="00625744" w:rsidP="008F6DD5">
            <w:pPr>
              <w:spacing w:after="120"/>
              <w:rPr>
                <w:sz w:val="20"/>
                <w:szCs w:val="20"/>
              </w:rPr>
            </w:pPr>
          </w:p>
        </w:tc>
        <w:tc>
          <w:tcPr>
            <w:tcW w:w="1817" w:type="dxa"/>
          </w:tcPr>
          <w:p w:rsidR="00625744" w:rsidRPr="005A5C0A" w:rsidRDefault="00625744" w:rsidP="008F6DD5">
            <w:pPr>
              <w:spacing w:after="120"/>
              <w:rPr>
                <w:sz w:val="20"/>
                <w:szCs w:val="20"/>
              </w:rPr>
            </w:pPr>
          </w:p>
        </w:tc>
        <w:tc>
          <w:tcPr>
            <w:tcW w:w="2520" w:type="dxa"/>
          </w:tcPr>
          <w:p w:rsidR="00625744" w:rsidRPr="00D12F31" w:rsidRDefault="00625744" w:rsidP="00861B72">
            <w:pPr>
              <w:pStyle w:val="Default"/>
              <w:numPr>
                <w:ilvl w:val="0"/>
                <w:numId w:val="8"/>
              </w:numPr>
              <w:spacing w:after="120"/>
              <w:ind w:left="59" w:firstLine="0"/>
              <w:rPr>
                <w:rFonts w:asciiTheme="minorHAnsi" w:hAnsiTheme="minorHAnsi"/>
                <w:sz w:val="20"/>
                <w:szCs w:val="20"/>
              </w:rPr>
            </w:pPr>
            <w:r>
              <w:rPr>
                <w:rFonts w:asciiTheme="minorHAnsi" w:hAnsiTheme="minorHAnsi"/>
                <w:sz w:val="20"/>
                <w:szCs w:val="20"/>
              </w:rPr>
              <w:t>Data to be used as a “baseline’ would be very useful.</w:t>
            </w:r>
          </w:p>
        </w:tc>
      </w:tr>
    </w:tbl>
    <w:p w:rsidR="00625744" w:rsidRDefault="00625744" w:rsidP="00625744">
      <w:pPr>
        <w:spacing w:after="120"/>
      </w:pPr>
    </w:p>
    <w:p w:rsidR="00625744" w:rsidRDefault="00625744" w:rsidP="00625744">
      <w:pPr>
        <w:spacing w:after="120"/>
      </w:pPr>
    </w:p>
    <w:p w:rsidR="00625744" w:rsidRDefault="00625744" w:rsidP="00625744">
      <w:pPr>
        <w:spacing w:after="120"/>
      </w:pPr>
    </w:p>
    <w:p w:rsidR="00296776" w:rsidRDefault="00296776">
      <w:r>
        <w:br w:type="page"/>
      </w:r>
    </w:p>
    <w:p w:rsidR="00A15830" w:rsidRDefault="00A15830" w:rsidP="00625744">
      <w:pPr>
        <w:spacing w:after="120"/>
      </w:pPr>
    </w:p>
    <w:p w:rsidR="00625744" w:rsidRPr="00C77B2F" w:rsidRDefault="00625744" w:rsidP="00625744">
      <w:pPr>
        <w:jc w:val="center"/>
        <w:rPr>
          <w:b/>
          <w:bCs/>
          <w:sz w:val="28"/>
          <w:szCs w:val="28"/>
        </w:rPr>
      </w:pPr>
      <w:r>
        <w:rPr>
          <w:b/>
          <w:bCs/>
          <w:sz w:val="28"/>
          <w:szCs w:val="28"/>
        </w:rPr>
        <w:t>GBEP Sustainability Indicators for Bioenergy - SOCIAL PILLAR</w:t>
      </w:r>
    </w:p>
    <w:p w:rsidR="00625744" w:rsidRPr="002258EC" w:rsidRDefault="00625744" w:rsidP="00625744">
      <w:pPr>
        <w:pStyle w:val="Default"/>
        <w:rPr>
          <w:rFonts w:asciiTheme="minorHAnsi" w:hAnsiTheme="minorHAnsi"/>
          <w:b/>
          <w:bCs/>
          <w:sz w:val="20"/>
          <w:szCs w:val="20"/>
        </w:rPr>
      </w:pPr>
    </w:p>
    <w:tbl>
      <w:tblPr>
        <w:tblStyle w:val="TableGrid"/>
        <w:tblW w:w="15480" w:type="dxa"/>
        <w:tblInd w:w="-545" w:type="dxa"/>
        <w:tblLook w:val="04A0"/>
      </w:tblPr>
      <w:tblGrid>
        <w:gridCol w:w="1961"/>
        <w:gridCol w:w="3087"/>
        <w:gridCol w:w="2976"/>
        <w:gridCol w:w="3119"/>
        <w:gridCol w:w="1843"/>
        <w:gridCol w:w="2494"/>
      </w:tblGrid>
      <w:tr w:rsidR="00625744" w:rsidTr="008F6DD5">
        <w:tc>
          <w:tcPr>
            <w:tcW w:w="1961" w:type="dxa"/>
          </w:tcPr>
          <w:p w:rsidR="00625744" w:rsidRPr="00C17876" w:rsidRDefault="00625744" w:rsidP="008F6DD5">
            <w:pPr>
              <w:pStyle w:val="Default"/>
              <w:rPr>
                <w:b/>
                <w:sz w:val="20"/>
                <w:szCs w:val="20"/>
              </w:rPr>
            </w:pPr>
            <w:r w:rsidRPr="00C17876">
              <w:rPr>
                <w:b/>
                <w:sz w:val="20"/>
                <w:szCs w:val="20"/>
              </w:rPr>
              <w:t>INDICATOR NAME</w:t>
            </w:r>
          </w:p>
        </w:tc>
        <w:tc>
          <w:tcPr>
            <w:tcW w:w="3087" w:type="dxa"/>
          </w:tcPr>
          <w:p w:rsidR="00625744" w:rsidRPr="00C17876" w:rsidRDefault="00625744" w:rsidP="008F6DD5">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625744" w:rsidRPr="00C17876" w:rsidRDefault="00625744" w:rsidP="008F6DD5">
            <w:pPr>
              <w:pStyle w:val="Default"/>
              <w:ind w:left="-29" w:right="-108"/>
              <w:rPr>
                <w:b/>
                <w:sz w:val="20"/>
                <w:szCs w:val="20"/>
              </w:rPr>
            </w:pPr>
          </w:p>
        </w:tc>
        <w:tc>
          <w:tcPr>
            <w:tcW w:w="2976" w:type="dxa"/>
          </w:tcPr>
          <w:p w:rsidR="00625744" w:rsidRDefault="00625744" w:rsidP="008F6DD5">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625744" w:rsidRDefault="00625744" w:rsidP="008F6DD5">
            <w:pPr>
              <w:pStyle w:val="Default"/>
              <w:ind w:left="-9"/>
              <w:rPr>
                <w:b/>
                <w:sz w:val="20"/>
                <w:szCs w:val="20"/>
              </w:rPr>
            </w:pPr>
            <w:r>
              <w:rPr>
                <w:b/>
                <w:sz w:val="20"/>
                <w:szCs w:val="20"/>
              </w:rPr>
              <w:t>Data appropriateness?</w:t>
            </w:r>
          </w:p>
          <w:p w:rsidR="00625744" w:rsidRPr="00C17876" w:rsidRDefault="00625744" w:rsidP="008F6DD5">
            <w:pPr>
              <w:pStyle w:val="Default"/>
              <w:ind w:left="-9"/>
              <w:rPr>
                <w:b/>
                <w:sz w:val="20"/>
                <w:szCs w:val="20"/>
              </w:rPr>
            </w:pPr>
          </w:p>
        </w:tc>
        <w:tc>
          <w:tcPr>
            <w:tcW w:w="3119" w:type="dxa"/>
          </w:tcPr>
          <w:p w:rsidR="00625744" w:rsidRPr="00C17876" w:rsidRDefault="00625744" w:rsidP="008F6DD5">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43" w:type="dxa"/>
          </w:tcPr>
          <w:p w:rsidR="00625744" w:rsidRPr="00C17876" w:rsidRDefault="00625744" w:rsidP="008F6DD5">
            <w:pPr>
              <w:pStyle w:val="Default"/>
              <w:ind w:left="-9"/>
              <w:rPr>
                <w:b/>
                <w:sz w:val="20"/>
                <w:szCs w:val="20"/>
              </w:rPr>
            </w:pPr>
            <w:r>
              <w:rPr>
                <w:b/>
                <w:sz w:val="20"/>
                <w:szCs w:val="20"/>
              </w:rPr>
              <w:t>4) Any other fundamental obstacle?</w:t>
            </w:r>
          </w:p>
        </w:tc>
        <w:tc>
          <w:tcPr>
            <w:tcW w:w="2494" w:type="dxa"/>
          </w:tcPr>
          <w:p w:rsidR="00625744" w:rsidRPr="00C17876" w:rsidRDefault="00625744" w:rsidP="008F6DD5">
            <w:pPr>
              <w:pStyle w:val="Default"/>
              <w:ind w:left="-9"/>
              <w:rPr>
                <w:b/>
                <w:sz w:val="20"/>
                <w:szCs w:val="20"/>
              </w:rPr>
            </w:pPr>
            <w:r>
              <w:rPr>
                <w:b/>
                <w:sz w:val="20"/>
                <w:szCs w:val="20"/>
              </w:rPr>
              <w:t>5) Comments.</w:t>
            </w:r>
          </w:p>
        </w:tc>
      </w:tr>
      <w:tr w:rsidR="00625744" w:rsidTr="008F6DD5">
        <w:trPr>
          <w:trHeight w:val="4123"/>
        </w:trPr>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9. Allocation and tenure of land for new bioenergy production </w:t>
            </w:r>
          </w:p>
        </w:tc>
        <w:tc>
          <w:tcPr>
            <w:tcW w:w="3087" w:type="dxa"/>
          </w:tcPr>
          <w:p w:rsidR="00625744" w:rsidRPr="0050103A" w:rsidRDefault="00625744" w:rsidP="008F6DD5">
            <w:pPr>
              <w:spacing w:before="120" w:after="120"/>
              <w:rPr>
                <w:sz w:val="20"/>
                <w:szCs w:val="20"/>
              </w:rPr>
            </w:pPr>
            <w:r w:rsidRPr="0050103A">
              <w:rPr>
                <w:sz w:val="20"/>
                <w:szCs w:val="20"/>
              </w:rPr>
              <w:t xml:space="preserve">1) Concept of “new” bioenergy production is complex to define because in many cases bioenergy is produced from </w:t>
            </w:r>
            <w:proofErr w:type="spellStart"/>
            <w:r w:rsidRPr="0050103A">
              <w:rPr>
                <w:sz w:val="20"/>
                <w:szCs w:val="20"/>
              </w:rPr>
              <w:t>feedstocks</w:t>
            </w:r>
            <w:proofErr w:type="spellEnd"/>
            <w:r w:rsidRPr="0050103A">
              <w:rPr>
                <w:sz w:val="20"/>
                <w:szCs w:val="20"/>
              </w:rPr>
              <w:t xml:space="preserve"> that are not dedicated solely to energy purposes (e.g. sugarcane ethanol, or palm oil biodiesel).</w:t>
            </w:r>
          </w:p>
          <w:p w:rsidR="00625744" w:rsidRPr="0050103A" w:rsidRDefault="00625744" w:rsidP="008F6DD5">
            <w:pPr>
              <w:spacing w:before="120" w:after="120"/>
              <w:rPr>
                <w:sz w:val="20"/>
                <w:szCs w:val="20"/>
              </w:rPr>
            </w:pPr>
            <w:r w:rsidRPr="0050103A">
              <w:rPr>
                <w:sz w:val="20"/>
                <w:szCs w:val="20"/>
              </w:rPr>
              <w:t>2)In addition to attribution (above) the main challenge in measuring this indicator is the lack of laws on recognition of land rights</w:t>
            </w:r>
            <w:r w:rsidR="0091200F">
              <w:rPr>
                <w:sz w:val="20"/>
                <w:szCs w:val="20"/>
              </w:rPr>
              <w:t xml:space="preserve"> (in particular customary rights) </w:t>
            </w:r>
            <w:r w:rsidRPr="0050103A">
              <w:rPr>
                <w:sz w:val="20"/>
                <w:szCs w:val="20"/>
              </w:rPr>
              <w:t>; for this purpose FAO has developed a set of voluntary guidelines for land tenure which to date has not been implemented by many countries.</w:t>
            </w:r>
          </w:p>
        </w:tc>
        <w:tc>
          <w:tcPr>
            <w:tcW w:w="2976" w:type="dxa"/>
          </w:tcPr>
          <w:p w:rsidR="00625744" w:rsidRPr="0050103A" w:rsidRDefault="00625744" w:rsidP="008F6DD5">
            <w:pPr>
              <w:pStyle w:val="Default"/>
              <w:spacing w:before="120" w:after="120"/>
              <w:rPr>
                <w:rFonts w:asciiTheme="minorHAnsi" w:hAnsiTheme="minorHAnsi"/>
                <w:sz w:val="20"/>
                <w:szCs w:val="20"/>
              </w:rPr>
            </w:pPr>
            <w:r>
              <w:rPr>
                <w:rFonts w:asciiTheme="minorHAnsi" w:hAnsiTheme="minorHAnsi"/>
                <w:sz w:val="20"/>
                <w:szCs w:val="20"/>
              </w:rPr>
              <w:t xml:space="preserve">1) Lack of data. </w:t>
            </w:r>
            <w:r w:rsidRPr="0050103A">
              <w:rPr>
                <w:rFonts w:asciiTheme="minorHAnsi" w:hAnsiTheme="minorHAnsi"/>
                <w:sz w:val="20"/>
                <w:szCs w:val="20"/>
              </w:rPr>
              <w:t>Strong emphasis on surveys (primary data) which are resource intensive (time, funding, etc).</w:t>
            </w:r>
          </w:p>
        </w:tc>
        <w:tc>
          <w:tcPr>
            <w:tcW w:w="3119" w:type="dxa"/>
          </w:tcPr>
          <w:p w:rsidR="00625744" w:rsidRPr="0050103A" w:rsidRDefault="00625744" w:rsidP="008F6DD5">
            <w:pPr>
              <w:pStyle w:val="Default"/>
              <w:spacing w:before="120" w:after="120"/>
              <w:rPr>
                <w:rFonts w:asciiTheme="minorHAnsi" w:hAnsiTheme="minorHAnsi"/>
                <w:sz w:val="20"/>
                <w:szCs w:val="20"/>
              </w:rPr>
            </w:pPr>
            <w:r>
              <w:rPr>
                <w:rFonts w:asciiTheme="minorHAnsi" w:hAnsiTheme="minorHAnsi"/>
                <w:sz w:val="20"/>
                <w:szCs w:val="20"/>
              </w:rPr>
              <w:t xml:space="preserve">1) </w:t>
            </w:r>
            <w:r w:rsidRPr="0050103A">
              <w:rPr>
                <w:rFonts w:asciiTheme="minorHAnsi" w:hAnsiTheme="minorHAnsi"/>
                <w:sz w:val="20"/>
                <w:szCs w:val="20"/>
              </w:rPr>
              <w:t>At the policy level, land tenure issues are one of the major areas for capacity development in many countries.</w:t>
            </w:r>
          </w:p>
        </w:tc>
        <w:tc>
          <w:tcPr>
            <w:tcW w:w="1843" w:type="dxa"/>
          </w:tcPr>
          <w:p w:rsidR="00625744" w:rsidRPr="0050103A" w:rsidRDefault="00625744" w:rsidP="008F6DD5">
            <w:pPr>
              <w:pStyle w:val="Default"/>
              <w:spacing w:before="120" w:after="120"/>
              <w:rPr>
                <w:rFonts w:asciiTheme="minorHAnsi" w:hAnsiTheme="minorHAnsi"/>
                <w:sz w:val="20"/>
                <w:szCs w:val="20"/>
              </w:rPr>
            </w:pPr>
            <w:r w:rsidRPr="0050103A">
              <w:rPr>
                <w:rFonts w:asciiTheme="minorHAnsi" w:hAnsiTheme="minorHAnsi"/>
                <w:sz w:val="20"/>
                <w:szCs w:val="20"/>
              </w:rPr>
              <w:t xml:space="preserve"> </w:t>
            </w:r>
          </w:p>
        </w:tc>
        <w:tc>
          <w:tcPr>
            <w:tcW w:w="2494" w:type="dxa"/>
          </w:tcPr>
          <w:p w:rsidR="00625744" w:rsidRPr="0050103A" w:rsidRDefault="00625744" w:rsidP="008F6DD5">
            <w:pPr>
              <w:pStyle w:val="Default"/>
              <w:spacing w:before="120" w:after="120"/>
              <w:rPr>
                <w:rFonts w:asciiTheme="minorHAnsi" w:hAnsiTheme="minorHAnsi"/>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10. Price and supply of a national food basket </w:t>
            </w:r>
          </w:p>
        </w:tc>
        <w:tc>
          <w:tcPr>
            <w:tcW w:w="3087" w:type="dxa"/>
          </w:tcPr>
          <w:p w:rsidR="00625744" w:rsidRPr="0050103A" w:rsidRDefault="00625744" w:rsidP="008F6DD5">
            <w:pPr>
              <w:pStyle w:val="Default"/>
              <w:spacing w:before="120" w:after="120"/>
              <w:rPr>
                <w:rFonts w:asciiTheme="minorHAnsi" w:hAnsiTheme="minorHAnsi"/>
                <w:sz w:val="20"/>
                <w:szCs w:val="20"/>
              </w:rPr>
            </w:pPr>
            <w:r>
              <w:rPr>
                <w:rFonts w:asciiTheme="minorHAnsi" w:hAnsiTheme="minorHAnsi"/>
                <w:sz w:val="20"/>
                <w:szCs w:val="20"/>
              </w:rPr>
              <w:t xml:space="preserve">1) </w:t>
            </w:r>
            <w:r w:rsidRPr="0050103A">
              <w:rPr>
                <w:rFonts w:asciiTheme="minorHAnsi" w:hAnsiTheme="minorHAnsi"/>
                <w:sz w:val="20"/>
                <w:szCs w:val="20"/>
              </w:rPr>
              <w:t>Very hard to run autonomously for countries especially because: A) not easy to understand its Tier’s approach; B) does not capture</w:t>
            </w:r>
            <w:r>
              <w:rPr>
                <w:rFonts w:asciiTheme="minorHAnsi" w:hAnsiTheme="minorHAnsi"/>
                <w:sz w:val="20"/>
                <w:szCs w:val="20"/>
              </w:rPr>
              <w:t>,</w:t>
            </w:r>
            <w:r w:rsidRPr="0050103A">
              <w:rPr>
                <w:rFonts w:asciiTheme="minorHAnsi" w:hAnsiTheme="minorHAnsi"/>
                <w:sz w:val="20"/>
                <w:szCs w:val="20"/>
              </w:rPr>
              <w:t xml:space="preserve"> </w:t>
            </w:r>
            <w:r>
              <w:rPr>
                <w:rFonts w:asciiTheme="minorHAnsi" w:hAnsiTheme="minorHAnsi"/>
                <w:sz w:val="20"/>
                <w:szCs w:val="20"/>
              </w:rPr>
              <w:t xml:space="preserve">in an evident manner, </w:t>
            </w:r>
            <w:r w:rsidRPr="0050103A">
              <w:rPr>
                <w:rFonts w:asciiTheme="minorHAnsi" w:hAnsiTheme="minorHAnsi"/>
                <w:sz w:val="20"/>
                <w:szCs w:val="20"/>
              </w:rPr>
              <w:t>all four dimensions of food security; C) most importantly, it requires sophisticated analysis (e.g. for Tier III) and requires a very committed stakeholders working group (Tier II).</w:t>
            </w:r>
          </w:p>
          <w:p w:rsidR="00625744" w:rsidRPr="0050103A" w:rsidRDefault="00625744" w:rsidP="008F6DD5">
            <w:pPr>
              <w:pStyle w:val="Default"/>
              <w:spacing w:before="120" w:after="120"/>
              <w:rPr>
                <w:rFonts w:asciiTheme="minorHAnsi" w:hAnsiTheme="minorHAnsi"/>
                <w:sz w:val="20"/>
                <w:szCs w:val="20"/>
              </w:rPr>
            </w:pPr>
            <w:r>
              <w:rPr>
                <w:rFonts w:asciiTheme="minorHAnsi" w:hAnsiTheme="minorHAnsi"/>
                <w:sz w:val="20"/>
                <w:szCs w:val="20"/>
              </w:rPr>
              <w:t xml:space="preserve">2) </w:t>
            </w:r>
            <w:r w:rsidRPr="0050103A">
              <w:rPr>
                <w:rFonts w:asciiTheme="minorHAnsi" w:hAnsiTheme="minorHAnsi"/>
                <w:sz w:val="20"/>
                <w:szCs w:val="20"/>
              </w:rPr>
              <w:t xml:space="preserve">The Tier I approach rarely captures any interaction between bioenergy and implication with food commodities, unless already evident, thus it could be </w:t>
            </w:r>
            <w:r w:rsidRPr="0050103A">
              <w:rPr>
                <w:rFonts w:asciiTheme="minorHAnsi" w:hAnsiTheme="minorHAnsi"/>
                <w:sz w:val="20"/>
                <w:szCs w:val="20"/>
              </w:rPr>
              <w:lastRenderedPageBreak/>
              <w:t>misleading.</w:t>
            </w:r>
          </w:p>
        </w:tc>
        <w:tc>
          <w:tcPr>
            <w:tcW w:w="2976" w:type="dxa"/>
          </w:tcPr>
          <w:p w:rsidR="00625744" w:rsidRPr="0050103A" w:rsidRDefault="00625744" w:rsidP="00861B72">
            <w:pPr>
              <w:pStyle w:val="Default"/>
              <w:numPr>
                <w:ilvl w:val="0"/>
                <w:numId w:val="9"/>
              </w:numPr>
              <w:spacing w:before="120" w:after="120"/>
              <w:ind w:left="33" w:firstLine="0"/>
              <w:rPr>
                <w:rFonts w:asciiTheme="minorHAnsi" w:hAnsiTheme="minorHAnsi"/>
                <w:sz w:val="20"/>
                <w:szCs w:val="20"/>
              </w:rPr>
            </w:pPr>
            <w:r w:rsidRPr="0050103A">
              <w:rPr>
                <w:rFonts w:asciiTheme="minorHAnsi" w:hAnsiTheme="minorHAnsi"/>
                <w:sz w:val="20"/>
                <w:szCs w:val="20"/>
              </w:rPr>
              <w:lastRenderedPageBreak/>
              <w:t>Data are often available (e.g. FAOSTAT, Ministry of Agriculture, other stakeholders). Availability is not a problem in most cases.</w:t>
            </w:r>
          </w:p>
        </w:tc>
        <w:tc>
          <w:tcPr>
            <w:tcW w:w="3119" w:type="dxa"/>
          </w:tcPr>
          <w:p w:rsidR="00625744" w:rsidRDefault="00625744" w:rsidP="00861B72">
            <w:pPr>
              <w:pStyle w:val="Default"/>
              <w:numPr>
                <w:ilvl w:val="0"/>
                <w:numId w:val="10"/>
              </w:numPr>
              <w:spacing w:before="120" w:after="120"/>
              <w:ind w:left="34" w:firstLine="0"/>
              <w:rPr>
                <w:rFonts w:asciiTheme="minorHAnsi" w:hAnsiTheme="minorHAnsi"/>
                <w:sz w:val="20"/>
                <w:szCs w:val="20"/>
              </w:rPr>
            </w:pPr>
            <w:r w:rsidRPr="0050103A">
              <w:rPr>
                <w:rFonts w:asciiTheme="minorHAnsi" w:hAnsiTheme="minorHAnsi"/>
                <w:sz w:val="20"/>
                <w:szCs w:val="20"/>
              </w:rPr>
              <w:t xml:space="preserve">Being this indicator so complex, yet being able to describe many aspects of the bioenergy and </w:t>
            </w:r>
            <w:proofErr w:type="spellStart"/>
            <w:r w:rsidRPr="0050103A">
              <w:rPr>
                <w:rFonts w:asciiTheme="minorHAnsi" w:hAnsiTheme="minorHAnsi"/>
                <w:sz w:val="20"/>
                <w:szCs w:val="20"/>
              </w:rPr>
              <w:t>agrichain</w:t>
            </w:r>
            <w:proofErr w:type="spellEnd"/>
            <w:r w:rsidRPr="0050103A">
              <w:rPr>
                <w:rFonts w:asciiTheme="minorHAnsi" w:hAnsiTheme="minorHAnsi"/>
                <w:sz w:val="20"/>
                <w:szCs w:val="20"/>
              </w:rPr>
              <w:t>, specific training at both policy and technical level is fundamental.</w:t>
            </w:r>
          </w:p>
          <w:p w:rsidR="0091200F" w:rsidRPr="0050103A" w:rsidRDefault="0091200F" w:rsidP="00861B72">
            <w:pPr>
              <w:pStyle w:val="Default"/>
              <w:numPr>
                <w:ilvl w:val="0"/>
                <w:numId w:val="10"/>
              </w:numPr>
              <w:spacing w:before="120" w:after="120"/>
              <w:ind w:left="34" w:firstLine="0"/>
              <w:rPr>
                <w:rFonts w:asciiTheme="minorHAnsi" w:hAnsiTheme="minorHAnsi"/>
                <w:sz w:val="20"/>
                <w:szCs w:val="20"/>
              </w:rPr>
            </w:pPr>
            <w:proofErr w:type="spellStart"/>
            <w:r>
              <w:rPr>
                <w:rFonts w:asciiTheme="minorHAnsi" w:hAnsiTheme="minorHAnsi"/>
                <w:sz w:val="20"/>
                <w:szCs w:val="20"/>
              </w:rPr>
              <w:t>Eg</w:t>
            </w:r>
            <w:proofErr w:type="spellEnd"/>
            <w:r w:rsidR="00D0533A">
              <w:rPr>
                <w:rFonts w:asciiTheme="minorHAnsi" w:hAnsiTheme="minorHAnsi"/>
                <w:sz w:val="20"/>
                <w:szCs w:val="20"/>
              </w:rPr>
              <w:t>.</w:t>
            </w:r>
            <w:r>
              <w:rPr>
                <w:rFonts w:asciiTheme="minorHAnsi" w:hAnsiTheme="minorHAnsi"/>
                <w:sz w:val="20"/>
                <w:szCs w:val="20"/>
              </w:rPr>
              <w:t xml:space="preserve">, </w:t>
            </w:r>
            <w:r w:rsidRPr="0091200F">
              <w:rPr>
                <w:rFonts w:asciiTheme="minorHAnsi" w:hAnsiTheme="minorHAnsi"/>
                <w:sz w:val="20"/>
                <w:szCs w:val="20"/>
              </w:rPr>
              <w:t xml:space="preserve">on </w:t>
            </w:r>
            <w:r w:rsidRPr="0091200F">
              <w:rPr>
                <w:sz w:val="20"/>
                <w:szCs w:val="20"/>
                <w:lang w:val="en-GB"/>
              </w:rPr>
              <w:t>AGLINK model</w:t>
            </w:r>
          </w:p>
        </w:tc>
        <w:tc>
          <w:tcPr>
            <w:tcW w:w="1843" w:type="dxa"/>
          </w:tcPr>
          <w:p w:rsidR="00625744" w:rsidRPr="0050103A" w:rsidRDefault="00625744" w:rsidP="008F6DD5">
            <w:pPr>
              <w:pStyle w:val="Default"/>
              <w:spacing w:before="120" w:after="120"/>
              <w:rPr>
                <w:rFonts w:asciiTheme="minorHAnsi" w:hAnsiTheme="minorHAnsi"/>
                <w:sz w:val="20"/>
                <w:szCs w:val="20"/>
              </w:rPr>
            </w:pPr>
          </w:p>
        </w:tc>
        <w:tc>
          <w:tcPr>
            <w:tcW w:w="2494" w:type="dxa"/>
          </w:tcPr>
          <w:p w:rsidR="00625744" w:rsidRPr="0050103A" w:rsidRDefault="00625744" w:rsidP="008F6DD5">
            <w:pPr>
              <w:pStyle w:val="Default"/>
              <w:spacing w:before="120" w:after="120"/>
              <w:ind w:left="720"/>
              <w:rPr>
                <w:rFonts w:asciiTheme="minorHAnsi" w:hAnsiTheme="minorHAnsi"/>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lastRenderedPageBreak/>
              <w:t xml:space="preserve">11. Change in income </w:t>
            </w:r>
          </w:p>
        </w:tc>
        <w:tc>
          <w:tcPr>
            <w:tcW w:w="3087" w:type="dxa"/>
          </w:tcPr>
          <w:p w:rsidR="00625744" w:rsidRPr="0050103A" w:rsidRDefault="00625744" w:rsidP="008F6DD5">
            <w:pPr>
              <w:spacing w:before="120" w:after="120"/>
              <w:rPr>
                <w:sz w:val="20"/>
                <w:szCs w:val="20"/>
              </w:rPr>
            </w:pPr>
            <w:r w:rsidRPr="0050103A">
              <w:rPr>
                <w:sz w:val="20"/>
                <w:szCs w:val="20"/>
              </w:rPr>
              <w:t>1) Hard to attribute to bioenergy (data are often aggregated for agriculture or industry sectors)</w:t>
            </w:r>
          </w:p>
          <w:p w:rsidR="00625744" w:rsidRPr="0050103A" w:rsidRDefault="00625744" w:rsidP="008F6DD5">
            <w:pPr>
              <w:spacing w:before="120" w:after="120"/>
              <w:rPr>
                <w:sz w:val="20"/>
                <w:szCs w:val="20"/>
              </w:rPr>
            </w:pPr>
            <w:r w:rsidRPr="0050103A">
              <w:rPr>
                <w:sz w:val="20"/>
                <w:szCs w:val="20"/>
              </w:rPr>
              <w:t>2) Impact of inflation</w:t>
            </w:r>
          </w:p>
          <w:p w:rsidR="00625744" w:rsidRPr="0050103A" w:rsidRDefault="00625744" w:rsidP="008F6DD5">
            <w:pPr>
              <w:spacing w:before="120" w:after="120"/>
              <w:rPr>
                <w:sz w:val="20"/>
                <w:szCs w:val="20"/>
              </w:rPr>
            </w:pPr>
            <w:r w:rsidRPr="0050103A">
              <w:rPr>
                <w:sz w:val="20"/>
                <w:szCs w:val="20"/>
              </w:rPr>
              <w:t>3) Feed-in tariffs</w:t>
            </w:r>
          </w:p>
        </w:tc>
        <w:tc>
          <w:tcPr>
            <w:tcW w:w="2976" w:type="dxa"/>
          </w:tcPr>
          <w:p w:rsidR="00625744" w:rsidRPr="0050103A" w:rsidRDefault="00625744" w:rsidP="008F6DD5">
            <w:pPr>
              <w:spacing w:before="120" w:after="120"/>
              <w:rPr>
                <w:sz w:val="20"/>
                <w:szCs w:val="20"/>
              </w:rPr>
            </w:pPr>
            <w:r>
              <w:rPr>
                <w:sz w:val="20"/>
                <w:szCs w:val="20"/>
              </w:rPr>
              <w:t xml:space="preserve">1) </w:t>
            </w:r>
            <w:r w:rsidRPr="0050103A">
              <w:rPr>
                <w:sz w:val="20"/>
                <w:szCs w:val="20"/>
              </w:rPr>
              <w:t>Data available is not disaggregated as well as often the workers do not receive a specific portion of the salary for the “bioenergy” component of their job (in the case of multipurpose agricultural commodities i.e. sugarcane, soybean, etc). Assumptions have to be made in order to attribute a possible change in income of agriculture sector workers to bioenergy only.</w:t>
            </w:r>
          </w:p>
        </w:tc>
        <w:tc>
          <w:tcPr>
            <w:tcW w:w="3119" w:type="dxa"/>
          </w:tcPr>
          <w:p w:rsidR="00625744" w:rsidRPr="0050103A" w:rsidRDefault="00625744" w:rsidP="008F6DD5">
            <w:pPr>
              <w:spacing w:before="120" w:after="120"/>
              <w:rPr>
                <w:sz w:val="20"/>
                <w:szCs w:val="20"/>
              </w:rPr>
            </w:pPr>
          </w:p>
        </w:tc>
        <w:tc>
          <w:tcPr>
            <w:tcW w:w="1843" w:type="dxa"/>
          </w:tcPr>
          <w:p w:rsidR="00625744" w:rsidRPr="0050103A" w:rsidRDefault="00625744" w:rsidP="008F6DD5">
            <w:pPr>
              <w:spacing w:before="120" w:after="120"/>
              <w:rPr>
                <w:sz w:val="20"/>
                <w:szCs w:val="20"/>
              </w:rPr>
            </w:pPr>
          </w:p>
        </w:tc>
        <w:tc>
          <w:tcPr>
            <w:tcW w:w="2494" w:type="dxa"/>
          </w:tcPr>
          <w:p w:rsidR="00625744" w:rsidRPr="00D06157" w:rsidRDefault="00625744" w:rsidP="00861B72">
            <w:pPr>
              <w:pStyle w:val="ListParagraph"/>
              <w:numPr>
                <w:ilvl w:val="0"/>
                <w:numId w:val="13"/>
              </w:numPr>
              <w:spacing w:before="120" w:after="120" w:line="240" w:lineRule="auto"/>
              <w:ind w:left="33" w:firstLine="0"/>
              <w:rPr>
                <w:sz w:val="20"/>
                <w:szCs w:val="20"/>
              </w:rPr>
            </w:pPr>
            <w:r w:rsidRPr="00D06157">
              <w:rPr>
                <w:sz w:val="20"/>
                <w:szCs w:val="20"/>
              </w:rPr>
              <w:t>Suggested to make best use of cooperative works in order to get data.</w:t>
            </w: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12. Jobs in the bioenergy sector </w:t>
            </w:r>
          </w:p>
        </w:tc>
        <w:tc>
          <w:tcPr>
            <w:tcW w:w="3087" w:type="dxa"/>
          </w:tcPr>
          <w:p w:rsidR="00625744" w:rsidRPr="0050103A" w:rsidRDefault="00625744" w:rsidP="008F6DD5">
            <w:pPr>
              <w:spacing w:before="120" w:after="120"/>
              <w:rPr>
                <w:sz w:val="20"/>
                <w:szCs w:val="20"/>
              </w:rPr>
            </w:pPr>
            <w:r w:rsidRPr="0050103A">
              <w:rPr>
                <w:sz w:val="20"/>
                <w:szCs w:val="20"/>
              </w:rPr>
              <w:t>1) For the reasons above (</w:t>
            </w:r>
            <w:proofErr w:type="spellStart"/>
            <w:r w:rsidRPr="0050103A">
              <w:rPr>
                <w:sz w:val="20"/>
                <w:szCs w:val="20"/>
              </w:rPr>
              <w:t>ind</w:t>
            </w:r>
            <w:proofErr w:type="spellEnd"/>
            <w:r w:rsidRPr="0050103A">
              <w:rPr>
                <w:sz w:val="20"/>
                <w:szCs w:val="20"/>
              </w:rPr>
              <w:t>. 11) the attribution to bioenergy is complicate, especially in terms of “net” job creating. Further guidance is needed.</w:t>
            </w:r>
          </w:p>
          <w:p w:rsidR="00625744" w:rsidRPr="0050103A" w:rsidRDefault="00625744" w:rsidP="008F6DD5">
            <w:pPr>
              <w:spacing w:before="120" w:after="120"/>
              <w:rPr>
                <w:sz w:val="20"/>
                <w:szCs w:val="20"/>
              </w:rPr>
            </w:pPr>
            <w:r w:rsidRPr="0050103A">
              <w:rPr>
                <w:sz w:val="20"/>
                <w:szCs w:val="20"/>
              </w:rPr>
              <w:t>2) Where available, data is owned by the private sector, often reluctant to share.</w:t>
            </w:r>
          </w:p>
        </w:tc>
        <w:tc>
          <w:tcPr>
            <w:tcW w:w="2976" w:type="dxa"/>
          </w:tcPr>
          <w:p w:rsidR="00625744" w:rsidRPr="0050103A" w:rsidRDefault="00625744" w:rsidP="008F6DD5">
            <w:pPr>
              <w:spacing w:before="120" w:after="120"/>
              <w:rPr>
                <w:sz w:val="20"/>
                <w:szCs w:val="20"/>
              </w:rPr>
            </w:pPr>
            <w:r>
              <w:rPr>
                <w:sz w:val="20"/>
                <w:szCs w:val="20"/>
              </w:rPr>
              <w:t xml:space="preserve">1) </w:t>
            </w:r>
            <w:r w:rsidRPr="0050103A">
              <w:rPr>
                <w:sz w:val="20"/>
                <w:szCs w:val="20"/>
              </w:rPr>
              <w:t>Data available is owned by the private sector, and appropriateness may be questionable.</w:t>
            </w:r>
          </w:p>
        </w:tc>
        <w:tc>
          <w:tcPr>
            <w:tcW w:w="3119" w:type="dxa"/>
          </w:tcPr>
          <w:p w:rsidR="00625744" w:rsidRPr="0050103A" w:rsidRDefault="00625744" w:rsidP="008F6DD5">
            <w:pPr>
              <w:spacing w:before="120" w:after="120"/>
              <w:rPr>
                <w:sz w:val="20"/>
                <w:szCs w:val="20"/>
              </w:rPr>
            </w:pPr>
          </w:p>
        </w:tc>
        <w:tc>
          <w:tcPr>
            <w:tcW w:w="1843" w:type="dxa"/>
          </w:tcPr>
          <w:p w:rsidR="00625744" w:rsidRPr="0050103A" w:rsidRDefault="004D7F2D" w:rsidP="004D7F2D">
            <w:pPr>
              <w:spacing w:before="120" w:after="120"/>
              <w:rPr>
                <w:sz w:val="20"/>
                <w:szCs w:val="20"/>
              </w:rPr>
            </w:pPr>
            <w:r>
              <w:rPr>
                <w:sz w:val="20"/>
                <w:szCs w:val="20"/>
              </w:rPr>
              <w:t xml:space="preserve">Markets are changing dynamically </w:t>
            </w:r>
            <w:r w:rsidRPr="004D7F2D">
              <w:rPr>
                <w:sz w:val="20"/>
                <w:szCs w:val="20"/>
              </w:rPr>
              <w:sym w:font="Wingdings" w:char="F0E0"/>
            </w:r>
            <w:r>
              <w:rPr>
                <w:sz w:val="20"/>
                <w:szCs w:val="20"/>
              </w:rPr>
              <w:t xml:space="preserve"> changes situation of jobs.</w:t>
            </w:r>
          </w:p>
        </w:tc>
        <w:tc>
          <w:tcPr>
            <w:tcW w:w="2494" w:type="dxa"/>
          </w:tcPr>
          <w:p w:rsidR="00625744" w:rsidRPr="00D06157" w:rsidRDefault="00625744" w:rsidP="00861B72">
            <w:pPr>
              <w:pStyle w:val="ListParagraph"/>
              <w:numPr>
                <w:ilvl w:val="0"/>
                <w:numId w:val="11"/>
              </w:numPr>
              <w:spacing w:before="120" w:after="120" w:line="240" w:lineRule="auto"/>
              <w:ind w:left="33" w:firstLine="0"/>
              <w:rPr>
                <w:sz w:val="20"/>
                <w:szCs w:val="20"/>
              </w:rPr>
            </w:pPr>
            <w:r w:rsidRPr="00D06157">
              <w:rPr>
                <w:sz w:val="20"/>
                <w:szCs w:val="20"/>
              </w:rPr>
              <w:t>Suggestion of possible deletion of the wording “</w:t>
            </w:r>
            <w:proofErr w:type="spellStart"/>
            <w:r w:rsidRPr="00D06157">
              <w:rPr>
                <w:sz w:val="20"/>
                <w:szCs w:val="20"/>
              </w:rPr>
              <w:t>Net”f</w:t>
            </w:r>
            <w:r w:rsidR="0091200F">
              <w:rPr>
                <w:sz w:val="20"/>
                <w:szCs w:val="20"/>
              </w:rPr>
              <w:t>o</w:t>
            </w:r>
            <w:r w:rsidRPr="00D06157">
              <w:rPr>
                <w:sz w:val="20"/>
                <w:szCs w:val="20"/>
              </w:rPr>
              <w:t>rm</w:t>
            </w:r>
            <w:proofErr w:type="spellEnd"/>
            <w:r w:rsidRPr="00D06157">
              <w:rPr>
                <w:sz w:val="20"/>
                <w:szCs w:val="20"/>
              </w:rPr>
              <w:t xml:space="preserve"> the indicator descriptor.</w:t>
            </w:r>
            <w:r w:rsidR="0091200F">
              <w:rPr>
                <w:sz w:val="20"/>
                <w:szCs w:val="20"/>
              </w:rPr>
              <w:t xml:space="preserve"> It would be too complicated to develop a counterfactual  scenario to figure out the net result.</w:t>
            </w:r>
          </w:p>
        </w:tc>
      </w:tr>
      <w:tr w:rsidR="00625744" w:rsidRPr="005D5ED0" w:rsidTr="008F6DD5">
        <w:tc>
          <w:tcPr>
            <w:tcW w:w="1961" w:type="dxa"/>
            <w:vAlign w:val="center"/>
          </w:tcPr>
          <w:p w:rsidR="00625744" w:rsidRPr="004361E7" w:rsidRDefault="00625744" w:rsidP="008F6DD5">
            <w:pPr>
              <w:pStyle w:val="Default"/>
              <w:spacing w:before="120" w:after="120"/>
              <w:rPr>
                <w:sz w:val="18"/>
                <w:szCs w:val="18"/>
              </w:rPr>
            </w:pPr>
            <w:r>
              <w:rPr>
                <w:b/>
                <w:bCs/>
                <w:sz w:val="18"/>
                <w:szCs w:val="18"/>
              </w:rPr>
              <w:t xml:space="preserve">13. Change in unpaid time spent by women and children collecting biomass </w:t>
            </w:r>
          </w:p>
        </w:tc>
        <w:tc>
          <w:tcPr>
            <w:tcW w:w="3087" w:type="dxa"/>
          </w:tcPr>
          <w:p w:rsidR="00625744" w:rsidRPr="0050103A" w:rsidRDefault="00625744" w:rsidP="008F6DD5">
            <w:pPr>
              <w:pStyle w:val="Default"/>
              <w:spacing w:before="120" w:after="120"/>
              <w:rPr>
                <w:rFonts w:asciiTheme="minorHAnsi" w:hAnsiTheme="minorHAnsi" w:cstheme="minorBidi"/>
                <w:color w:val="auto"/>
                <w:sz w:val="20"/>
                <w:szCs w:val="20"/>
              </w:rPr>
            </w:pPr>
            <w:r w:rsidRPr="0050103A">
              <w:rPr>
                <w:rFonts w:asciiTheme="minorHAnsi" w:hAnsiTheme="minorHAnsi" w:cstheme="minorBidi"/>
                <w:color w:val="auto"/>
                <w:sz w:val="20"/>
                <w:szCs w:val="20"/>
              </w:rPr>
              <w:t>1)It relies heavily on surveys (i.e. resource intensive)</w:t>
            </w:r>
          </w:p>
          <w:p w:rsidR="00625744" w:rsidRPr="0050103A" w:rsidRDefault="00625744" w:rsidP="008F6DD5">
            <w:pPr>
              <w:pStyle w:val="Default"/>
              <w:spacing w:before="120" w:after="120"/>
              <w:rPr>
                <w:rFonts w:asciiTheme="minorHAnsi" w:hAnsiTheme="minorHAnsi" w:cstheme="minorBidi"/>
                <w:color w:val="auto"/>
                <w:sz w:val="20"/>
                <w:szCs w:val="20"/>
              </w:rPr>
            </w:pPr>
            <w:r w:rsidRPr="0050103A">
              <w:rPr>
                <w:rFonts w:asciiTheme="minorHAnsi" w:hAnsiTheme="minorHAnsi" w:cstheme="minorBidi"/>
                <w:color w:val="auto"/>
                <w:sz w:val="20"/>
                <w:szCs w:val="20"/>
              </w:rPr>
              <w:t>2) it should be made gender neutral in order to describe the situation in different country contexts (e.g. in Indonesia, men collect biomass, thus the indicator as it stands fails to capture this aspect)</w:t>
            </w:r>
          </w:p>
        </w:tc>
        <w:tc>
          <w:tcPr>
            <w:tcW w:w="2976" w:type="dxa"/>
          </w:tcPr>
          <w:p w:rsidR="00625744" w:rsidRPr="0050103A" w:rsidRDefault="00625744" w:rsidP="008F6DD5">
            <w:pPr>
              <w:pStyle w:val="Default"/>
              <w:spacing w:before="120" w:after="120"/>
              <w:rPr>
                <w:rFonts w:asciiTheme="minorHAnsi" w:hAnsiTheme="minorHAnsi" w:cstheme="minorBidi"/>
                <w:color w:val="auto"/>
                <w:sz w:val="20"/>
                <w:szCs w:val="20"/>
              </w:rPr>
            </w:pPr>
            <w:r>
              <w:rPr>
                <w:rFonts w:asciiTheme="minorHAnsi" w:hAnsiTheme="minorHAnsi" w:cstheme="minorBidi"/>
                <w:color w:val="auto"/>
                <w:sz w:val="20"/>
                <w:szCs w:val="20"/>
              </w:rPr>
              <w:t xml:space="preserve">1) </w:t>
            </w:r>
            <w:r w:rsidRPr="0050103A">
              <w:rPr>
                <w:rFonts w:asciiTheme="minorHAnsi" w:hAnsiTheme="minorHAnsi" w:cstheme="minorBidi"/>
                <w:color w:val="auto"/>
                <w:sz w:val="20"/>
                <w:szCs w:val="20"/>
              </w:rPr>
              <w:t xml:space="preserve">Data are not available (in the tested countries) also because </w:t>
            </w:r>
            <w:proofErr w:type="spellStart"/>
            <w:r w:rsidRPr="0050103A">
              <w:rPr>
                <w:rFonts w:asciiTheme="minorHAnsi" w:hAnsiTheme="minorHAnsi" w:cstheme="minorBidi"/>
                <w:color w:val="auto"/>
                <w:sz w:val="20"/>
                <w:szCs w:val="20"/>
              </w:rPr>
              <w:t>woodfuel</w:t>
            </w:r>
            <w:proofErr w:type="spellEnd"/>
            <w:r w:rsidRPr="0050103A">
              <w:rPr>
                <w:rFonts w:asciiTheme="minorHAnsi" w:hAnsiTheme="minorHAnsi" w:cstheme="minorBidi"/>
                <w:color w:val="auto"/>
                <w:sz w:val="20"/>
                <w:szCs w:val="20"/>
              </w:rPr>
              <w:t xml:space="preserve"> is often collected/traded in the informal market; need for representative surveys (large sample over several months where seasonality exists) </w:t>
            </w:r>
          </w:p>
        </w:tc>
        <w:tc>
          <w:tcPr>
            <w:tcW w:w="3119" w:type="dxa"/>
          </w:tcPr>
          <w:p w:rsidR="00625744" w:rsidRPr="0050103A" w:rsidRDefault="00625744" w:rsidP="008F6DD5">
            <w:pPr>
              <w:pStyle w:val="Default"/>
              <w:spacing w:before="120" w:after="120"/>
              <w:rPr>
                <w:rFonts w:asciiTheme="minorHAnsi" w:hAnsiTheme="minorHAnsi"/>
                <w:sz w:val="20"/>
                <w:szCs w:val="20"/>
              </w:rPr>
            </w:pPr>
          </w:p>
        </w:tc>
        <w:tc>
          <w:tcPr>
            <w:tcW w:w="1843" w:type="dxa"/>
          </w:tcPr>
          <w:p w:rsidR="00625744" w:rsidRPr="0050103A" w:rsidRDefault="00625744" w:rsidP="008F6DD5">
            <w:pPr>
              <w:pStyle w:val="Default"/>
              <w:spacing w:before="120" w:after="120"/>
              <w:rPr>
                <w:rFonts w:asciiTheme="minorHAnsi" w:hAnsiTheme="minorHAnsi"/>
                <w:sz w:val="20"/>
                <w:szCs w:val="20"/>
              </w:rPr>
            </w:pPr>
          </w:p>
        </w:tc>
        <w:tc>
          <w:tcPr>
            <w:tcW w:w="2494" w:type="dxa"/>
          </w:tcPr>
          <w:p w:rsidR="00625744" w:rsidRPr="00D06157" w:rsidRDefault="00625744" w:rsidP="00861B72">
            <w:pPr>
              <w:pStyle w:val="Default"/>
              <w:numPr>
                <w:ilvl w:val="0"/>
                <w:numId w:val="12"/>
              </w:numPr>
              <w:spacing w:before="120" w:after="120"/>
              <w:ind w:left="33" w:firstLine="0"/>
              <w:rPr>
                <w:rFonts w:asciiTheme="minorHAnsi" w:hAnsiTheme="minorHAnsi"/>
                <w:sz w:val="20"/>
                <w:szCs w:val="20"/>
              </w:rPr>
            </w:pPr>
            <w:r w:rsidRPr="00D06157">
              <w:rPr>
                <w:rFonts w:asciiTheme="minorHAnsi" w:hAnsiTheme="minorHAnsi"/>
                <w:sz w:val="20"/>
                <w:szCs w:val="20"/>
              </w:rPr>
              <w:t>This indicator could be gender neutral, to reflect different local circumstances.</w:t>
            </w:r>
          </w:p>
          <w:p w:rsidR="00625744" w:rsidRPr="00D06157" w:rsidRDefault="00625744" w:rsidP="00861B72">
            <w:pPr>
              <w:pStyle w:val="Default"/>
              <w:numPr>
                <w:ilvl w:val="0"/>
                <w:numId w:val="12"/>
              </w:numPr>
              <w:spacing w:before="120" w:after="120"/>
              <w:ind w:left="33" w:firstLine="0"/>
              <w:rPr>
                <w:rFonts w:asciiTheme="minorHAnsi" w:hAnsiTheme="minorHAnsi"/>
                <w:sz w:val="20"/>
                <w:szCs w:val="20"/>
              </w:rPr>
            </w:pPr>
            <w:r w:rsidRPr="00D06157">
              <w:rPr>
                <w:rFonts w:asciiTheme="minorHAnsi" w:hAnsiTheme="minorHAnsi"/>
                <w:sz w:val="20"/>
                <w:szCs w:val="20"/>
              </w:rPr>
              <w:t>Apparently UNDP is carrying out surveys in Africa on this matter (very relevant in this context) and it is advisable that GBEP liaises with UNDP in order to find out whether the survey could help measuring this indicator.</w:t>
            </w: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14. Bioenergy used to expand access to </w:t>
            </w:r>
            <w:r>
              <w:rPr>
                <w:b/>
                <w:bCs/>
                <w:sz w:val="18"/>
                <w:szCs w:val="18"/>
              </w:rPr>
              <w:lastRenderedPageBreak/>
              <w:t xml:space="preserve">modern energy services </w:t>
            </w:r>
          </w:p>
        </w:tc>
        <w:tc>
          <w:tcPr>
            <w:tcW w:w="3087" w:type="dxa"/>
          </w:tcPr>
          <w:p w:rsidR="00625744" w:rsidRPr="0050103A" w:rsidRDefault="00625744" w:rsidP="008F6DD5">
            <w:pPr>
              <w:spacing w:before="120" w:after="120"/>
              <w:rPr>
                <w:sz w:val="20"/>
                <w:szCs w:val="20"/>
              </w:rPr>
            </w:pPr>
            <w:r>
              <w:rPr>
                <w:sz w:val="20"/>
                <w:szCs w:val="20"/>
              </w:rPr>
              <w:lastRenderedPageBreak/>
              <w:t xml:space="preserve">1) </w:t>
            </w:r>
            <w:r w:rsidRPr="0050103A">
              <w:rPr>
                <w:sz w:val="20"/>
                <w:szCs w:val="20"/>
              </w:rPr>
              <w:t xml:space="preserve">To date, because the indicator mainly targets expanded access to </w:t>
            </w:r>
            <w:r w:rsidRPr="0050103A">
              <w:rPr>
                <w:sz w:val="20"/>
                <w:szCs w:val="20"/>
              </w:rPr>
              <w:lastRenderedPageBreak/>
              <w:t xml:space="preserve">energy (in off-grid areas) due to bioenergy installations, no pilot country has targeted modern bioenergy forms used to expand access to energy where this was not previously available. </w:t>
            </w:r>
          </w:p>
        </w:tc>
        <w:tc>
          <w:tcPr>
            <w:tcW w:w="2976" w:type="dxa"/>
          </w:tcPr>
          <w:p w:rsidR="00625744" w:rsidRPr="0050103A" w:rsidRDefault="00625744" w:rsidP="008F6DD5">
            <w:pPr>
              <w:spacing w:before="120" w:after="120"/>
              <w:rPr>
                <w:sz w:val="20"/>
                <w:szCs w:val="20"/>
              </w:rPr>
            </w:pPr>
          </w:p>
        </w:tc>
        <w:tc>
          <w:tcPr>
            <w:tcW w:w="3119" w:type="dxa"/>
          </w:tcPr>
          <w:p w:rsidR="00625744" w:rsidRPr="0050103A" w:rsidRDefault="00625744" w:rsidP="008F6DD5">
            <w:pPr>
              <w:spacing w:before="120" w:after="120"/>
              <w:rPr>
                <w:sz w:val="20"/>
                <w:szCs w:val="20"/>
              </w:rPr>
            </w:pPr>
          </w:p>
        </w:tc>
        <w:tc>
          <w:tcPr>
            <w:tcW w:w="1843" w:type="dxa"/>
          </w:tcPr>
          <w:p w:rsidR="00625744" w:rsidRPr="0050103A" w:rsidRDefault="00625744" w:rsidP="008F6DD5">
            <w:pPr>
              <w:spacing w:before="120" w:after="120"/>
              <w:rPr>
                <w:sz w:val="20"/>
                <w:szCs w:val="20"/>
              </w:rPr>
            </w:pPr>
          </w:p>
        </w:tc>
        <w:tc>
          <w:tcPr>
            <w:tcW w:w="2494" w:type="dxa"/>
          </w:tcPr>
          <w:p w:rsidR="00625744" w:rsidRPr="00D06157" w:rsidRDefault="00625744" w:rsidP="00861B72">
            <w:pPr>
              <w:pStyle w:val="ListParagraph"/>
              <w:numPr>
                <w:ilvl w:val="0"/>
                <w:numId w:val="15"/>
              </w:numPr>
              <w:spacing w:before="120" w:after="120" w:line="240" w:lineRule="auto"/>
              <w:ind w:left="33" w:firstLine="0"/>
              <w:rPr>
                <w:sz w:val="20"/>
                <w:szCs w:val="20"/>
              </w:rPr>
            </w:pPr>
            <w:r>
              <w:rPr>
                <w:sz w:val="20"/>
                <w:szCs w:val="20"/>
              </w:rPr>
              <w:t xml:space="preserve">This indicator is not related to bioenergy </w:t>
            </w:r>
            <w:r>
              <w:rPr>
                <w:sz w:val="20"/>
                <w:szCs w:val="20"/>
              </w:rPr>
              <w:lastRenderedPageBreak/>
              <w:t>produced and put on the grid, but on bioenergy produced and used directly at the local level.</w:t>
            </w: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lastRenderedPageBreak/>
              <w:t xml:space="preserve">15. Change in mortality and burden of disease attributable to indoor smoke </w:t>
            </w:r>
          </w:p>
        </w:tc>
        <w:tc>
          <w:tcPr>
            <w:tcW w:w="3087" w:type="dxa"/>
          </w:tcPr>
          <w:p w:rsidR="00625744" w:rsidRPr="0050103A" w:rsidRDefault="00625744" w:rsidP="008F6DD5">
            <w:pPr>
              <w:spacing w:before="120" w:after="120"/>
              <w:rPr>
                <w:sz w:val="20"/>
                <w:szCs w:val="20"/>
              </w:rPr>
            </w:pPr>
            <w:r>
              <w:rPr>
                <w:sz w:val="20"/>
                <w:szCs w:val="20"/>
              </w:rPr>
              <w:t xml:space="preserve">1) </w:t>
            </w:r>
            <w:r w:rsidRPr="0050103A">
              <w:rPr>
                <w:sz w:val="20"/>
                <w:szCs w:val="20"/>
              </w:rPr>
              <w:t>Limited statistics available are aggregate of DALYs lost due to upper respiratory disease, thus including possible sources such as cigarette smoke, etc.</w:t>
            </w:r>
          </w:p>
          <w:p w:rsidR="00625744" w:rsidRPr="0050103A" w:rsidRDefault="00625744" w:rsidP="008F6DD5">
            <w:pPr>
              <w:spacing w:before="120" w:after="120"/>
              <w:rPr>
                <w:sz w:val="20"/>
                <w:szCs w:val="20"/>
              </w:rPr>
            </w:pPr>
            <w:r>
              <w:rPr>
                <w:sz w:val="20"/>
                <w:szCs w:val="20"/>
              </w:rPr>
              <w:t xml:space="preserve">2) </w:t>
            </w:r>
            <w:r w:rsidRPr="0050103A">
              <w:rPr>
                <w:sz w:val="20"/>
                <w:szCs w:val="20"/>
              </w:rPr>
              <w:t xml:space="preserve">In order to assess a change, </w:t>
            </w:r>
            <w:r w:rsidRPr="0050103A">
              <w:rPr>
                <w:i/>
                <w:sz w:val="20"/>
                <w:szCs w:val="20"/>
              </w:rPr>
              <w:t>reliable</w:t>
            </w:r>
            <w:r w:rsidRPr="0050103A">
              <w:rPr>
                <w:sz w:val="20"/>
                <w:szCs w:val="20"/>
              </w:rPr>
              <w:t xml:space="preserve"> statistics are needed for a long period of time.</w:t>
            </w:r>
          </w:p>
        </w:tc>
        <w:tc>
          <w:tcPr>
            <w:tcW w:w="2976" w:type="dxa"/>
          </w:tcPr>
          <w:p w:rsidR="00625744" w:rsidRPr="00D06157" w:rsidRDefault="00625744" w:rsidP="00861B72">
            <w:pPr>
              <w:pStyle w:val="ListParagraph"/>
              <w:numPr>
                <w:ilvl w:val="0"/>
                <w:numId w:val="14"/>
              </w:numPr>
              <w:spacing w:before="120" w:after="120" w:line="240" w:lineRule="auto"/>
              <w:ind w:left="175" w:firstLine="0"/>
              <w:rPr>
                <w:sz w:val="20"/>
                <w:szCs w:val="20"/>
              </w:rPr>
            </w:pPr>
            <w:r w:rsidRPr="00D06157">
              <w:rPr>
                <w:sz w:val="20"/>
                <w:szCs w:val="20"/>
              </w:rPr>
              <w:t>Limited data available</w:t>
            </w:r>
          </w:p>
        </w:tc>
        <w:tc>
          <w:tcPr>
            <w:tcW w:w="3119" w:type="dxa"/>
          </w:tcPr>
          <w:p w:rsidR="00625744" w:rsidRPr="00D06157" w:rsidRDefault="00625744" w:rsidP="00861B72">
            <w:pPr>
              <w:pStyle w:val="ListParagraph"/>
              <w:numPr>
                <w:ilvl w:val="0"/>
                <w:numId w:val="16"/>
              </w:numPr>
              <w:spacing w:before="120" w:after="120" w:line="240" w:lineRule="auto"/>
              <w:ind w:left="34" w:firstLine="0"/>
              <w:rPr>
                <w:sz w:val="20"/>
                <w:szCs w:val="20"/>
              </w:rPr>
            </w:pPr>
            <w:r w:rsidRPr="00D06157">
              <w:rPr>
                <w:sz w:val="20"/>
                <w:szCs w:val="20"/>
              </w:rPr>
              <w:t xml:space="preserve">Possibly, by partnering with local Ministry of Health, statistics or surveys that cover a time window sufficient to describe the development of those chronic diseases such as those caused by indoor smoke coming from cooking source (thus targeting the family members more exposed) may lead to the identification of the responsibility of traditional bioenergy use. </w:t>
            </w:r>
          </w:p>
        </w:tc>
        <w:tc>
          <w:tcPr>
            <w:tcW w:w="1843" w:type="dxa"/>
          </w:tcPr>
          <w:p w:rsidR="00625744" w:rsidRPr="0050103A" w:rsidRDefault="00625744" w:rsidP="008F6DD5">
            <w:pPr>
              <w:spacing w:before="120" w:after="120"/>
              <w:rPr>
                <w:sz w:val="20"/>
                <w:szCs w:val="20"/>
              </w:rPr>
            </w:pPr>
          </w:p>
        </w:tc>
        <w:tc>
          <w:tcPr>
            <w:tcW w:w="2494" w:type="dxa"/>
          </w:tcPr>
          <w:p w:rsidR="00625744" w:rsidRPr="00D06157" w:rsidRDefault="00625744" w:rsidP="008F6DD5">
            <w:pPr>
              <w:spacing w:before="120" w:after="120"/>
              <w:ind w:left="33"/>
              <w:rPr>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16. Incidence of occupational injury, illness and fatalities </w:t>
            </w:r>
          </w:p>
        </w:tc>
        <w:tc>
          <w:tcPr>
            <w:tcW w:w="3087" w:type="dxa"/>
          </w:tcPr>
          <w:p w:rsidR="00625744" w:rsidRPr="0050103A" w:rsidRDefault="00625744" w:rsidP="008F6DD5">
            <w:pPr>
              <w:spacing w:before="120" w:after="120"/>
              <w:rPr>
                <w:sz w:val="20"/>
                <w:szCs w:val="20"/>
              </w:rPr>
            </w:pPr>
            <w:r>
              <w:rPr>
                <w:sz w:val="20"/>
                <w:szCs w:val="20"/>
              </w:rPr>
              <w:t xml:space="preserve">1) </w:t>
            </w:r>
            <w:r w:rsidRPr="0050103A">
              <w:rPr>
                <w:sz w:val="20"/>
                <w:szCs w:val="20"/>
              </w:rPr>
              <w:t>Data owned by the private sector, having no incentive for reporting/sharing data.</w:t>
            </w:r>
          </w:p>
          <w:p w:rsidR="00625744" w:rsidRPr="0050103A" w:rsidRDefault="00625744" w:rsidP="008F6DD5">
            <w:pPr>
              <w:spacing w:before="120" w:after="120"/>
              <w:rPr>
                <w:sz w:val="20"/>
                <w:szCs w:val="20"/>
              </w:rPr>
            </w:pPr>
          </w:p>
          <w:p w:rsidR="00625744" w:rsidRPr="0050103A" w:rsidRDefault="00625744" w:rsidP="008F6DD5">
            <w:pPr>
              <w:spacing w:before="120" w:after="120"/>
              <w:rPr>
                <w:sz w:val="20"/>
                <w:szCs w:val="20"/>
              </w:rPr>
            </w:pPr>
          </w:p>
        </w:tc>
        <w:tc>
          <w:tcPr>
            <w:tcW w:w="2976" w:type="dxa"/>
          </w:tcPr>
          <w:p w:rsidR="00625744" w:rsidRPr="00D06157" w:rsidRDefault="00625744" w:rsidP="00861B72">
            <w:pPr>
              <w:pStyle w:val="ListParagraph"/>
              <w:numPr>
                <w:ilvl w:val="0"/>
                <w:numId w:val="17"/>
              </w:numPr>
              <w:spacing w:before="120" w:after="120" w:line="240" w:lineRule="auto"/>
              <w:ind w:left="33" w:firstLine="0"/>
              <w:rPr>
                <w:sz w:val="20"/>
                <w:szCs w:val="20"/>
              </w:rPr>
            </w:pPr>
            <w:r w:rsidRPr="00D06157">
              <w:rPr>
                <w:sz w:val="20"/>
                <w:szCs w:val="20"/>
              </w:rPr>
              <w:t>Insurance companies do have data, however, in the country tested (e.g. Colombia) the percentage of insured workers is limited, particularly in the agricultural phase (e.g. 5% of total sugarcane cutters).</w:t>
            </w:r>
          </w:p>
        </w:tc>
        <w:tc>
          <w:tcPr>
            <w:tcW w:w="3119" w:type="dxa"/>
          </w:tcPr>
          <w:p w:rsidR="00625744" w:rsidRPr="00D06157" w:rsidRDefault="00625744" w:rsidP="00861B72">
            <w:pPr>
              <w:pStyle w:val="ListParagraph"/>
              <w:numPr>
                <w:ilvl w:val="0"/>
                <w:numId w:val="18"/>
              </w:numPr>
              <w:spacing w:before="120" w:after="120" w:line="240" w:lineRule="auto"/>
              <w:ind w:left="34" w:firstLine="0"/>
              <w:rPr>
                <w:sz w:val="20"/>
                <w:szCs w:val="20"/>
              </w:rPr>
            </w:pPr>
            <w:r w:rsidRPr="00D06157">
              <w:rPr>
                <w:sz w:val="20"/>
                <w:szCs w:val="20"/>
              </w:rPr>
              <w:t>Fundamental, as in the case of any other indicator which information is held primarily by the private sector, is to partner with local authorities and build the capacity to assess this aspect and produce statistics. It is also important to develop the capacity of national policymakers that favor mandatory insurance regimes and discourage informal jobs in bioenergy (and agriculture) sectors.</w:t>
            </w:r>
          </w:p>
        </w:tc>
        <w:tc>
          <w:tcPr>
            <w:tcW w:w="1843" w:type="dxa"/>
          </w:tcPr>
          <w:p w:rsidR="00625744" w:rsidRPr="0050103A" w:rsidRDefault="00625744" w:rsidP="008F6DD5">
            <w:pPr>
              <w:spacing w:before="120" w:after="120"/>
              <w:rPr>
                <w:sz w:val="20"/>
                <w:szCs w:val="20"/>
              </w:rPr>
            </w:pPr>
          </w:p>
        </w:tc>
        <w:tc>
          <w:tcPr>
            <w:tcW w:w="2494" w:type="dxa"/>
          </w:tcPr>
          <w:p w:rsidR="00625744" w:rsidRPr="00D06157" w:rsidRDefault="00625744" w:rsidP="008F6DD5">
            <w:pPr>
              <w:spacing w:before="120" w:after="120"/>
              <w:ind w:left="33"/>
              <w:rPr>
                <w:sz w:val="20"/>
                <w:szCs w:val="20"/>
              </w:rPr>
            </w:pPr>
          </w:p>
        </w:tc>
      </w:tr>
    </w:tbl>
    <w:p w:rsidR="00625744" w:rsidRDefault="00625744" w:rsidP="00625744">
      <w:pPr>
        <w:spacing w:after="120"/>
      </w:pPr>
    </w:p>
    <w:p w:rsidR="00625744" w:rsidRDefault="00625744" w:rsidP="00625744">
      <w:pPr>
        <w:spacing w:after="120"/>
      </w:pPr>
    </w:p>
    <w:p w:rsidR="00625744" w:rsidRDefault="00625744" w:rsidP="00625744">
      <w:pPr>
        <w:spacing w:after="120"/>
      </w:pPr>
    </w:p>
    <w:p w:rsidR="00296776" w:rsidRDefault="00296776">
      <w:r>
        <w:br w:type="page"/>
      </w:r>
    </w:p>
    <w:p w:rsidR="00625744" w:rsidRDefault="00625744" w:rsidP="00625744">
      <w:pPr>
        <w:spacing w:after="120"/>
      </w:pPr>
    </w:p>
    <w:p w:rsidR="00625744" w:rsidRDefault="00625744" w:rsidP="00625744">
      <w:pPr>
        <w:jc w:val="center"/>
        <w:rPr>
          <w:b/>
          <w:bCs/>
          <w:sz w:val="28"/>
          <w:szCs w:val="28"/>
        </w:rPr>
      </w:pPr>
      <w:r>
        <w:rPr>
          <w:b/>
          <w:bCs/>
          <w:sz w:val="28"/>
          <w:szCs w:val="28"/>
        </w:rPr>
        <w:t>GBEP Sustainability Indicators for Bioenergy - ECONOMIC PILLAR</w:t>
      </w:r>
    </w:p>
    <w:p w:rsidR="00625744" w:rsidRDefault="00625744" w:rsidP="00625744">
      <w:pPr>
        <w:spacing w:after="120"/>
      </w:pPr>
    </w:p>
    <w:tbl>
      <w:tblPr>
        <w:tblStyle w:val="TableGrid"/>
        <w:tblW w:w="15480" w:type="dxa"/>
        <w:tblInd w:w="-545" w:type="dxa"/>
        <w:tblLook w:val="04A0"/>
      </w:tblPr>
      <w:tblGrid>
        <w:gridCol w:w="1961"/>
        <w:gridCol w:w="3087"/>
        <w:gridCol w:w="2976"/>
        <w:gridCol w:w="3119"/>
        <w:gridCol w:w="1843"/>
        <w:gridCol w:w="2494"/>
      </w:tblGrid>
      <w:tr w:rsidR="00625744" w:rsidTr="008F6DD5">
        <w:tc>
          <w:tcPr>
            <w:tcW w:w="1961" w:type="dxa"/>
          </w:tcPr>
          <w:p w:rsidR="00625744" w:rsidRPr="00C17876" w:rsidRDefault="00625744" w:rsidP="008F6DD5">
            <w:pPr>
              <w:pStyle w:val="Default"/>
              <w:rPr>
                <w:b/>
                <w:sz w:val="20"/>
                <w:szCs w:val="20"/>
              </w:rPr>
            </w:pPr>
            <w:r w:rsidRPr="00C17876">
              <w:rPr>
                <w:b/>
                <w:sz w:val="20"/>
                <w:szCs w:val="20"/>
              </w:rPr>
              <w:t>INDICATOR NAME</w:t>
            </w:r>
          </w:p>
        </w:tc>
        <w:tc>
          <w:tcPr>
            <w:tcW w:w="3087" w:type="dxa"/>
          </w:tcPr>
          <w:p w:rsidR="00625744" w:rsidRPr="00C17876" w:rsidRDefault="00625744" w:rsidP="008F6DD5">
            <w:pPr>
              <w:pStyle w:val="Default"/>
              <w:ind w:left="-9"/>
              <w:rPr>
                <w:b/>
                <w:sz w:val="20"/>
                <w:szCs w:val="20"/>
              </w:rPr>
            </w:pPr>
            <w:r>
              <w:rPr>
                <w:b/>
                <w:sz w:val="20"/>
                <w:szCs w:val="20"/>
              </w:rPr>
              <w:t>1</w:t>
            </w:r>
            <w:r w:rsidRPr="00C17876">
              <w:rPr>
                <w:b/>
                <w:sz w:val="20"/>
                <w:szCs w:val="20"/>
              </w:rPr>
              <w:t xml:space="preserve">) </w:t>
            </w:r>
            <w:r>
              <w:rPr>
                <w:b/>
                <w:sz w:val="20"/>
                <w:szCs w:val="20"/>
              </w:rPr>
              <w:t>Which are the major challenges when measuring this indicator</w:t>
            </w:r>
            <w:r w:rsidRPr="00C17876">
              <w:rPr>
                <w:b/>
                <w:sz w:val="20"/>
                <w:szCs w:val="20"/>
              </w:rPr>
              <w:t>?</w:t>
            </w:r>
            <w:r>
              <w:rPr>
                <w:b/>
                <w:sz w:val="20"/>
                <w:szCs w:val="20"/>
              </w:rPr>
              <w:t xml:space="preserve"> </w:t>
            </w:r>
          </w:p>
          <w:p w:rsidR="00625744" w:rsidRPr="00C17876" w:rsidRDefault="00625744" w:rsidP="008F6DD5">
            <w:pPr>
              <w:pStyle w:val="Default"/>
              <w:ind w:left="-29" w:right="-108"/>
              <w:rPr>
                <w:b/>
                <w:sz w:val="20"/>
                <w:szCs w:val="20"/>
              </w:rPr>
            </w:pPr>
          </w:p>
        </w:tc>
        <w:tc>
          <w:tcPr>
            <w:tcW w:w="2976" w:type="dxa"/>
          </w:tcPr>
          <w:p w:rsidR="00625744" w:rsidRDefault="00625744" w:rsidP="008F6DD5">
            <w:pPr>
              <w:pStyle w:val="Default"/>
              <w:ind w:left="-9"/>
              <w:rPr>
                <w:b/>
                <w:sz w:val="20"/>
                <w:szCs w:val="20"/>
              </w:rPr>
            </w:pPr>
            <w:r>
              <w:rPr>
                <w:b/>
                <w:sz w:val="20"/>
                <w:szCs w:val="20"/>
              </w:rPr>
              <w:t>2</w:t>
            </w:r>
            <w:r w:rsidRPr="00C17876">
              <w:rPr>
                <w:b/>
                <w:sz w:val="20"/>
                <w:szCs w:val="20"/>
              </w:rPr>
              <w:t xml:space="preserve">) </w:t>
            </w:r>
            <w:r>
              <w:rPr>
                <w:b/>
                <w:sz w:val="20"/>
                <w:szCs w:val="20"/>
              </w:rPr>
              <w:t>Data availability</w:t>
            </w:r>
            <w:r w:rsidRPr="00C17876">
              <w:rPr>
                <w:b/>
                <w:sz w:val="20"/>
                <w:szCs w:val="20"/>
              </w:rPr>
              <w:t>?</w:t>
            </w:r>
          </w:p>
          <w:p w:rsidR="00625744" w:rsidRDefault="00625744" w:rsidP="008F6DD5">
            <w:pPr>
              <w:pStyle w:val="Default"/>
              <w:ind w:left="-9"/>
              <w:rPr>
                <w:b/>
                <w:sz w:val="20"/>
                <w:szCs w:val="20"/>
              </w:rPr>
            </w:pPr>
            <w:r>
              <w:rPr>
                <w:b/>
                <w:sz w:val="20"/>
                <w:szCs w:val="20"/>
              </w:rPr>
              <w:t>Data appropriateness?</w:t>
            </w:r>
          </w:p>
          <w:p w:rsidR="00625744" w:rsidRPr="00C17876" w:rsidRDefault="00625744" w:rsidP="008F6DD5">
            <w:pPr>
              <w:pStyle w:val="Default"/>
              <w:ind w:left="-9"/>
              <w:rPr>
                <w:b/>
                <w:sz w:val="20"/>
                <w:szCs w:val="20"/>
              </w:rPr>
            </w:pPr>
          </w:p>
        </w:tc>
        <w:tc>
          <w:tcPr>
            <w:tcW w:w="3119" w:type="dxa"/>
          </w:tcPr>
          <w:p w:rsidR="00625744" w:rsidRPr="00C17876" w:rsidRDefault="00625744" w:rsidP="008F6DD5">
            <w:pPr>
              <w:pStyle w:val="Default"/>
              <w:ind w:left="-9"/>
              <w:rPr>
                <w:b/>
                <w:sz w:val="20"/>
                <w:szCs w:val="20"/>
              </w:rPr>
            </w:pPr>
            <w:r w:rsidRPr="00C17876">
              <w:rPr>
                <w:b/>
                <w:sz w:val="20"/>
                <w:szCs w:val="20"/>
              </w:rPr>
              <w:t xml:space="preserve">3) </w:t>
            </w:r>
            <w:r>
              <w:rPr>
                <w:b/>
                <w:sz w:val="20"/>
                <w:szCs w:val="20"/>
              </w:rPr>
              <w:t>How relevant is capacity building</w:t>
            </w:r>
            <w:r w:rsidRPr="00C17876">
              <w:rPr>
                <w:b/>
                <w:sz w:val="20"/>
                <w:szCs w:val="20"/>
              </w:rPr>
              <w:t>?</w:t>
            </w:r>
          </w:p>
        </w:tc>
        <w:tc>
          <w:tcPr>
            <w:tcW w:w="1843" w:type="dxa"/>
          </w:tcPr>
          <w:p w:rsidR="00625744" w:rsidRPr="00C17876" w:rsidRDefault="00625744" w:rsidP="008F6DD5">
            <w:pPr>
              <w:pStyle w:val="Default"/>
              <w:ind w:left="-9"/>
              <w:rPr>
                <w:b/>
                <w:sz w:val="20"/>
                <w:szCs w:val="20"/>
              </w:rPr>
            </w:pPr>
            <w:r>
              <w:rPr>
                <w:b/>
                <w:sz w:val="20"/>
                <w:szCs w:val="20"/>
              </w:rPr>
              <w:t>4) Any other fundamental obstacle?</w:t>
            </w:r>
          </w:p>
        </w:tc>
        <w:tc>
          <w:tcPr>
            <w:tcW w:w="2494" w:type="dxa"/>
          </w:tcPr>
          <w:p w:rsidR="00625744" w:rsidRPr="00D06157" w:rsidRDefault="00625744" w:rsidP="008F6DD5">
            <w:pPr>
              <w:pStyle w:val="Default"/>
              <w:ind w:left="-9"/>
              <w:rPr>
                <w:b/>
                <w:sz w:val="20"/>
                <w:szCs w:val="20"/>
              </w:rPr>
            </w:pPr>
            <w:r w:rsidRPr="00D06157">
              <w:rPr>
                <w:b/>
                <w:sz w:val="20"/>
                <w:szCs w:val="20"/>
              </w:rPr>
              <w:t>5) Comments.</w:t>
            </w: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17. Productivity </w:t>
            </w:r>
          </w:p>
        </w:tc>
        <w:tc>
          <w:tcPr>
            <w:tcW w:w="3087" w:type="dxa"/>
          </w:tcPr>
          <w:p w:rsidR="004D7F2D" w:rsidRPr="00D06157" w:rsidRDefault="00625744" w:rsidP="008F6DD5">
            <w:pPr>
              <w:spacing w:before="120" w:after="120"/>
              <w:rPr>
                <w:sz w:val="20"/>
                <w:szCs w:val="20"/>
              </w:rPr>
            </w:pPr>
            <w:r w:rsidRPr="00D06157">
              <w:rPr>
                <w:sz w:val="20"/>
                <w:szCs w:val="20"/>
              </w:rPr>
              <w:t>1) So far this indicator has been measured easily, getting data from the government relevant Ministries.</w:t>
            </w:r>
          </w:p>
          <w:p w:rsidR="00625744" w:rsidRPr="00D06157" w:rsidRDefault="004D7F2D" w:rsidP="008F6DD5">
            <w:pPr>
              <w:spacing w:before="120" w:after="120"/>
              <w:rPr>
                <w:sz w:val="20"/>
                <w:szCs w:val="20"/>
              </w:rPr>
            </w:pPr>
            <w:r>
              <w:rPr>
                <w:sz w:val="20"/>
                <w:szCs w:val="20"/>
              </w:rPr>
              <w:t>National averages are sufficient.</w:t>
            </w:r>
          </w:p>
        </w:tc>
        <w:tc>
          <w:tcPr>
            <w:tcW w:w="2976" w:type="dxa"/>
          </w:tcPr>
          <w:p w:rsidR="00625744" w:rsidRPr="00D06157" w:rsidRDefault="00625744" w:rsidP="00861B72">
            <w:pPr>
              <w:pStyle w:val="Default"/>
              <w:numPr>
                <w:ilvl w:val="0"/>
                <w:numId w:val="19"/>
              </w:numPr>
              <w:spacing w:before="120" w:after="120"/>
              <w:ind w:left="33" w:firstLine="0"/>
              <w:rPr>
                <w:rFonts w:asciiTheme="minorHAnsi" w:hAnsiTheme="minorHAnsi"/>
                <w:sz w:val="20"/>
                <w:szCs w:val="20"/>
              </w:rPr>
            </w:pPr>
            <w:r w:rsidRPr="00D06157">
              <w:rPr>
                <w:rFonts w:asciiTheme="minorHAnsi" w:hAnsiTheme="minorHAnsi"/>
                <w:sz w:val="20"/>
                <w:szCs w:val="20"/>
              </w:rPr>
              <w:t>Mainly relying on secondary data i.e. statistics on prices. Therefore estimations/modeling are needed.</w:t>
            </w:r>
          </w:p>
        </w:tc>
        <w:tc>
          <w:tcPr>
            <w:tcW w:w="3119" w:type="dxa"/>
          </w:tcPr>
          <w:p w:rsidR="00625744" w:rsidRPr="00D06157" w:rsidRDefault="00625744" w:rsidP="008F6DD5">
            <w:pPr>
              <w:pStyle w:val="Default"/>
              <w:spacing w:before="120" w:after="120"/>
              <w:rPr>
                <w:rFonts w:asciiTheme="minorHAnsi" w:hAnsiTheme="minorHAnsi"/>
                <w:sz w:val="20"/>
                <w:szCs w:val="20"/>
              </w:rPr>
            </w:pPr>
          </w:p>
        </w:tc>
        <w:tc>
          <w:tcPr>
            <w:tcW w:w="1843" w:type="dxa"/>
          </w:tcPr>
          <w:p w:rsidR="00625744" w:rsidRPr="00D06157" w:rsidRDefault="00625744" w:rsidP="008F6DD5">
            <w:pPr>
              <w:pStyle w:val="Default"/>
              <w:spacing w:before="120" w:after="120"/>
              <w:rPr>
                <w:rFonts w:asciiTheme="minorHAnsi" w:hAnsiTheme="minorHAnsi"/>
                <w:sz w:val="20"/>
                <w:szCs w:val="20"/>
              </w:rPr>
            </w:pPr>
            <w:r w:rsidRPr="00D06157">
              <w:rPr>
                <w:rFonts w:asciiTheme="minorHAnsi" w:hAnsiTheme="minorHAnsi"/>
                <w:sz w:val="20"/>
                <w:szCs w:val="20"/>
              </w:rPr>
              <w:t xml:space="preserve"> </w:t>
            </w:r>
          </w:p>
        </w:tc>
        <w:tc>
          <w:tcPr>
            <w:tcW w:w="2494" w:type="dxa"/>
          </w:tcPr>
          <w:p w:rsidR="00625744" w:rsidRPr="00D06157" w:rsidRDefault="00625744" w:rsidP="00861B72">
            <w:pPr>
              <w:pStyle w:val="Default"/>
              <w:numPr>
                <w:ilvl w:val="0"/>
                <w:numId w:val="21"/>
              </w:numPr>
              <w:spacing w:before="120" w:after="120"/>
              <w:ind w:left="33" w:firstLine="0"/>
              <w:rPr>
                <w:rFonts w:asciiTheme="minorHAnsi" w:hAnsiTheme="minorHAnsi"/>
                <w:sz w:val="20"/>
                <w:szCs w:val="20"/>
              </w:rPr>
            </w:pPr>
            <w:r w:rsidRPr="00D06157">
              <w:rPr>
                <w:rFonts w:asciiTheme="minorHAnsi" w:hAnsiTheme="minorHAnsi"/>
                <w:sz w:val="20"/>
                <w:szCs w:val="20"/>
              </w:rPr>
              <w:t>National statistics may be used.</w:t>
            </w: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18. Net energy </w:t>
            </w:r>
            <w:r w:rsidRPr="004361E7">
              <w:rPr>
                <w:b/>
                <w:bCs/>
                <w:sz w:val="18"/>
                <w:szCs w:val="18"/>
              </w:rPr>
              <w:t>balance</w:t>
            </w:r>
          </w:p>
        </w:tc>
        <w:tc>
          <w:tcPr>
            <w:tcW w:w="3087" w:type="dxa"/>
          </w:tcPr>
          <w:p w:rsidR="00625744" w:rsidRPr="00D06157" w:rsidRDefault="00625744" w:rsidP="008F6DD5">
            <w:pPr>
              <w:pStyle w:val="Default"/>
              <w:spacing w:before="120" w:after="120"/>
              <w:rPr>
                <w:rFonts w:asciiTheme="minorHAnsi" w:hAnsiTheme="minorHAnsi"/>
                <w:sz w:val="20"/>
                <w:szCs w:val="20"/>
              </w:rPr>
            </w:pPr>
          </w:p>
          <w:p w:rsidR="00625744" w:rsidRPr="00D06157" w:rsidRDefault="00625744" w:rsidP="008F6DD5">
            <w:pPr>
              <w:pStyle w:val="Default"/>
              <w:spacing w:before="120" w:after="120"/>
              <w:rPr>
                <w:rFonts w:asciiTheme="minorHAnsi" w:hAnsiTheme="minorHAnsi"/>
                <w:sz w:val="20"/>
                <w:szCs w:val="20"/>
              </w:rPr>
            </w:pPr>
          </w:p>
          <w:p w:rsidR="00625744" w:rsidRPr="00D06157" w:rsidRDefault="00625744" w:rsidP="008F6DD5">
            <w:pPr>
              <w:pStyle w:val="Default"/>
              <w:spacing w:before="120" w:after="120"/>
              <w:rPr>
                <w:rFonts w:asciiTheme="minorHAnsi" w:hAnsiTheme="minorHAnsi"/>
                <w:sz w:val="20"/>
                <w:szCs w:val="20"/>
              </w:rPr>
            </w:pPr>
          </w:p>
        </w:tc>
        <w:tc>
          <w:tcPr>
            <w:tcW w:w="2976" w:type="dxa"/>
          </w:tcPr>
          <w:p w:rsidR="00625744" w:rsidRPr="00D06157" w:rsidRDefault="00625744" w:rsidP="00861B72">
            <w:pPr>
              <w:pStyle w:val="Default"/>
              <w:numPr>
                <w:ilvl w:val="0"/>
                <w:numId w:val="20"/>
              </w:numPr>
              <w:spacing w:before="120" w:after="120"/>
              <w:ind w:left="33" w:firstLine="0"/>
              <w:rPr>
                <w:rFonts w:asciiTheme="minorHAnsi" w:hAnsiTheme="minorHAnsi"/>
                <w:sz w:val="20"/>
                <w:szCs w:val="20"/>
              </w:rPr>
            </w:pPr>
            <w:r w:rsidRPr="00D06157">
              <w:rPr>
                <w:rFonts w:asciiTheme="minorHAnsi" w:hAnsiTheme="minorHAnsi"/>
                <w:sz w:val="20"/>
                <w:szCs w:val="20"/>
              </w:rPr>
              <w:t>Data availability may be an issue.</w:t>
            </w:r>
          </w:p>
        </w:tc>
        <w:tc>
          <w:tcPr>
            <w:tcW w:w="3119" w:type="dxa"/>
          </w:tcPr>
          <w:p w:rsidR="00625744" w:rsidRPr="00D06157" w:rsidRDefault="00625744" w:rsidP="008F6DD5">
            <w:pPr>
              <w:pStyle w:val="Default"/>
              <w:spacing w:before="120" w:after="120"/>
              <w:rPr>
                <w:rFonts w:asciiTheme="minorHAnsi" w:hAnsiTheme="minorHAnsi"/>
                <w:sz w:val="20"/>
                <w:szCs w:val="20"/>
              </w:rPr>
            </w:pPr>
          </w:p>
        </w:tc>
        <w:tc>
          <w:tcPr>
            <w:tcW w:w="1843" w:type="dxa"/>
          </w:tcPr>
          <w:p w:rsidR="00625744" w:rsidRPr="00D06157" w:rsidRDefault="00625744" w:rsidP="008F6DD5">
            <w:pPr>
              <w:pStyle w:val="Default"/>
              <w:spacing w:before="120" w:after="120"/>
              <w:rPr>
                <w:rFonts w:asciiTheme="minorHAnsi" w:hAnsiTheme="minorHAnsi"/>
                <w:sz w:val="20"/>
                <w:szCs w:val="20"/>
              </w:rPr>
            </w:pPr>
          </w:p>
        </w:tc>
        <w:tc>
          <w:tcPr>
            <w:tcW w:w="2494" w:type="dxa"/>
          </w:tcPr>
          <w:p w:rsidR="00625744" w:rsidRPr="00D06157" w:rsidRDefault="00625744" w:rsidP="008F6DD5">
            <w:pPr>
              <w:pStyle w:val="Default"/>
              <w:spacing w:before="120" w:after="120"/>
              <w:rPr>
                <w:rFonts w:asciiTheme="minorHAnsi" w:hAnsiTheme="minorHAnsi"/>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19. Gross value added </w:t>
            </w:r>
          </w:p>
        </w:tc>
        <w:tc>
          <w:tcPr>
            <w:tcW w:w="3087" w:type="dxa"/>
          </w:tcPr>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tc>
        <w:tc>
          <w:tcPr>
            <w:tcW w:w="2976" w:type="dxa"/>
          </w:tcPr>
          <w:p w:rsidR="00625744" w:rsidRDefault="00625744" w:rsidP="00861B72">
            <w:pPr>
              <w:pStyle w:val="ListParagraph"/>
              <w:numPr>
                <w:ilvl w:val="0"/>
                <w:numId w:val="22"/>
              </w:numPr>
              <w:spacing w:before="120" w:after="120" w:line="240" w:lineRule="auto"/>
              <w:ind w:left="33" w:firstLine="0"/>
              <w:rPr>
                <w:sz w:val="20"/>
                <w:szCs w:val="20"/>
              </w:rPr>
            </w:pPr>
            <w:r>
              <w:rPr>
                <w:sz w:val="20"/>
                <w:szCs w:val="20"/>
              </w:rPr>
              <w:t>Data availability may be a challenge as GDP is calculated by sectors, and bioenergy is not a separate sector but appears within renewable or energy sectors.</w:t>
            </w:r>
          </w:p>
          <w:p w:rsidR="00625744" w:rsidRPr="00D06157" w:rsidRDefault="00625744" w:rsidP="00861B72">
            <w:pPr>
              <w:pStyle w:val="ListParagraph"/>
              <w:numPr>
                <w:ilvl w:val="0"/>
                <w:numId w:val="22"/>
              </w:numPr>
              <w:spacing w:before="120" w:after="120" w:line="240" w:lineRule="auto"/>
              <w:ind w:left="33" w:firstLine="0"/>
              <w:rPr>
                <w:sz w:val="20"/>
                <w:szCs w:val="20"/>
              </w:rPr>
            </w:pPr>
            <w:r>
              <w:rPr>
                <w:sz w:val="20"/>
                <w:szCs w:val="20"/>
              </w:rPr>
              <w:t>Possibility to measure tendencies by using proxy</w:t>
            </w:r>
            <w:r w:rsidR="004D7F2D">
              <w:rPr>
                <w:sz w:val="20"/>
                <w:szCs w:val="20"/>
              </w:rPr>
              <w:t xml:space="preserve"> (e.g. economic turn-over)</w:t>
            </w:r>
            <w:r>
              <w:rPr>
                <w:sz w:val="20"/>
                <w:szCs w:val="20"/>
              </w:rPr>
              <w:t>.</w:t>
            </w:r>
          </w:p>
        </w:tc>
        <w:tc>
          <w:tcPr>
            <w:tcW w:w="3119" w:type="dxa"/>
          </w:tcPr>
          <w:p w:rsidR="00625744" w:rsidRPr="00D06157" w:rsidRDefault="00625744" w:rsidP="008F6DD5">
            <w:pPr>
              <w:spacing w:before="120" w:after="120"/>
              <w:rPr>
                <w:sz w:val="20"/>
                <w:szCs w:val="20"/>
              </w:rPr>
            </w:pPr>
          </w:p>
        </w:tc>
        <w:tc>
          <w:tcPr>
            <w:tcW w:w="1843" w:type="dxa"/>
          </w:tcPr>
          <w:p w:rsidR="00625744" w:rsidRPr="00D06157" w:rsidRDefault="00625744" w:rsidP="008F6DD5">
            <w:pPr>
              <w:spacing w:before="120" w:after="120"/>
              <w:rPr>
                <w:sz w:val="20"/>
                <w:szCs w:val="20"/>
              </w:rPr>
            </w:pPr>
          </w:p>
        </w:tc>
        <w:tc>
          <w:tcPr>
            <w:tcW w:w="2494" w:type="dxa"/>
          </w:tcPr>
          <w:p w:rsidR="00625744" w:rsidRPr="00D06157" w:rsidRDefault="00625744" w:rsidP="008F6DD5">
            <w:pPr>
              <w:spacing w:before="120" w:after="120"/>
              <w:rPr>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20. Change in the consumption of fossil fuels and traditional use of biomass </w:t>
            </w:r>
          </w:p>
        </w:tc>
        <w:tc>
          <w:tcPr>
            <w:tcW w:w="3087" w:type="dxa"/>
          </w:tcPr>
          <w:p w:rsidR="00625744" w:rsidRPr="00D06157" w:rsidRDefault="00625744" w:rsidP="008F6DD5">
            <w:pPr>
              <w:spacing w:before="120" w:after="120"/>
              <w:rPr>
                <w:sz w:val="20"/>
                <w:szCs w:val="20"/>
              </w:rPr>
            </w:pPr>
            <w:bookmarkStart w:id="0" w:name="_GoBack"/>
            <w:bookmarkEnd w:id="0"/>
          </w:p>
        </w:tc>
        <w:tc>
          <w:tcPr>
            <w:tcW w:w="2976" w:type="dxa"/>
          </w:tcPr>
          <w:p w:rsidR="00625744" w:rsidRPr="00D06157" w:rsidRDefault="00625744" w:rsidP="008F6DD5">
            <w:pPr>
              <w:spacing w:before="120" w:after="120"/>
              <w:rPr>
                <w:sz w:val="20"/>
                <w:szCs w:val="20"/>
              </w:rPr>
            </w:pPr>
          </w:p>
        </w:tc>
        <w:tc>
          <w:tcPr>
            <w:tcW w:w="3119" w:type="dxa"/>
          </w:tcPr>
          <w:p w:rsidR="00625744" w:rsidRPr="00D06157" w:rsidRDefault="00625744" w:rsidP="008F6DD5">
            <w:pPr>
              <w:spacing w:before="120" w:after="120"/>
              <w:rPr>
                <w:sz w:val="20"/>
                <w:szCs w:val="20"/>
              </w:rPr>
            </w:pPr>
          </w:p>
        </w:tc>
        <w:tc>
          <w:tcPr>
            <w:tcW w:w="1843" w:type="dxa"/>
          </w:tcPr>
          <w:p w:rsidR="00625744" w:rsidRPr="00D06157" w:rsidRDefault="00625744" w:rsidP="008F6DD5">
            <w:pPr>
              <w:spacing w:before="120" w:after="120"/>
              <w:rPr>
                <w:sz w:val="20"/>
                <w:szCs w:val="20"/>
              </w:rPr>
            </w:pPr>
          </w:p>
        </w:tc>
        <w:tc>
          <w:tcPr>
            <w:tcW w:w="2494" w:type="dxa"/>
          </w:tcPr>
          <w:p w:rsidR="00625744" w:rsidRPr="00D06157" w:rsidRDefault="00625744" w:rsidP="008F6DD5">
            <w:pPr>
              <w:spacing w:before="120" w:after="120"/>
              <w:rPr>
                <w:sz w:val="20"/>
                <w:szCs w:val="20"/>
              </w:rPr>
            </w:pPr>
          </w:p>
        </w:tc>
      </w:tr>
      <w:tr w:rsidR="00625744" w:rsidRPr="005D5ED0" w:rsidTr="008F6DD5">
        <w:tc>
          <w:tcPr>
            <w:tcW w:w="1961" w:type="dxa"/>
            <w:vAlign w:val="center"/>
          </w:tcPr>
          <w:p w:rsidR="00625744" w:rsidRPr="004361E7" w:rsidRDefault="00625744" w:rsidP="008F6DD5">
            <w:pPr>
              <w:pStyle w:val="Default"/>
              <w:spacing w:before="120" w:after="120"/>
              <w:rPr>
                <w:sz w:val="18"/>
                <w:szCs w:val="18"/>
              </w:rPr>
            </w:pPr>
            <w:r>
              <w:rPr>
                <w:b/>
                <w:bCs/>
                <w:sz w:val="18"/>
                <w:szCs w:val="18"/>
              </w:rPr>
              <w:t xml:space="preserve">21. Training and re-qualification of the workforce </w:t>
            </w:r>
          </w:p>
        </w:tc>
        <w:tc>
          <w:tcPr>
            <w:tcW w:w="3087" w:type="dxa"/>
          </w:tcPr>
          <w:p w:rsidR="00625744" w:rsidRPr="00D06157" w:rsidRDefault="00625744" w:rsidP="008F6DD5">
            <w:pPr>
              <w:pStyle w:val="Default"/>
              <w:spacing w:before="120" w:after="120"/>
              <w:rPr>
                <w:rFonts w:asciiTheme="minorHAnsi" w:hAnsiTheme="minorHAnsi"/>
                <w:sz w:val="20"/>
                <w:szCs w:val="20"/>
              </w:rPr>
            </w:pPr>
          </w:p>
          <w:p w:rsidR="00625744" w:rsidRPr="00D06157" w:rsidRDefault="00625744" w:rsidP="008F6DD5">
            <w:pPr>
              <w:pStyle w:val="Default"/>
              <w:spacing w:before="120" w:after="120"/>
              <w:rPr>
                <w:rFonts w:asciiTheme="minorHAnsi" w:hAnsiTheme="minorHAnsi"/>
                <w:sz w:val="20"/>
                <w:szCs w:val="20"/>
              </w:rPr>
            </w:pPr>
          </w:p>
          <w:p w:rsidR="00625744" w:rsidRPr="00D06157" w:rsidRDefault="00625744" w:rsidP="008F6DD5">
            <w:pPr>
              <w:pStyle w:val="Default"/>
              <w:spacing w:before="120" w:after="120"/>
              <w:rPr>
                <w:rFonts w:asciiTheme="minorHAnsi" w:hAnsiTheme="minorHAnsi"/>
                <w:sz w:val="20"/>
                <w:szCs w:val="20"/>
              </w:rPr>
            </w:pPr>
          </w:p>
        </w:tc>
        <w:tc>
          <w:tcPr>
            <w:tcW w:w="2976" w:type="dxa"/>
          </w:tcPr>
          <w:p w:rsidR="00625744" w:rsidRPr="00D06157" w:rsidRDefault="00625744" w:rsidP="008F6DD5">
            <w:pPr>
              <w:pStyle w:val="Default"/>
              <w:spacing w:before="120" w:after="120"/>
              <w:rPr>
                <w:rFonts w:asciiTheme="minorHAnsi" w:hAnsiTheme="minorHAnsi"/>
                <w:sz w:val="20"/>
                <w:szCs w:val="20"/>
              </w:rPr>
            </w:pPr>
          </w:p>
        </w:tc>
        <w:tc>
          <w:tcPr>
            <w:tcW w:w="3119" w:type="dxa"/>
          </w:tcPr>
          <w:p w:rsidR="00625744" w:rsidRPr="00D06157" w:rsidRDefault="00625744" w:rsidP="008F6DD5">
            <w:pPr>
              <w:pStyle w:val="Default"/>
              <w:spacing w:before="120" w:after="120"/>
              <w:rPr>
                <w:rFonts w:asciiTheme="minorHAnsi" w:hAnsiTheme="minorHAnsi"/>
                <w:sz w:val="20"/>
                <w:szCs w:val="20"/>
              </w:rPr>
            </w:pPr>
          </w:p>
        </w:tc>
        <w:tc>
          <w:tcPr>
            <w:tcW w:w="1843" w:type="dxa"/>
          </w:tcPr>
          <w:p w:rsidR="00625744" w:rsidRPr="00D06157" w:rsidRDefault="00625744" w:rsidP="008F6DD5">
            <w:pPr>
              <w:pStyle w:val="Default"/>
              <w:spacing w:before="120" w:after="120"/>
              <w:rPr>
                <w:rFonts w:asciiTheme="minorHAnsi" w:hAnsiTheme="minorHAnsi"/>
                <w:sz w:val="20"/>
                <w:szCs w:val="20"/>
              </w:rPr>
            </w:pPr>
          </w:p>
        </w:tc>
        <w:tc>
          <w:tcPr>
            <w:tcW w:w="2494" w:type="dxa"/>
          </w:tcPr>
          <w:p w:rsidR="00625744" w:rsidRPr="00D06157" w:rsidRDefault="00625744" w:rsidP="008F6DD5">
            <w:pPr>
              <w:pStyle w:val="Default"/>
              <w:spacing w:before="120" w:after="120"/>
              <w:rPr>
                <w:rFonts w:asciiTheme="minorHAnsi" w:hAnsiTheme="minorHAnsi"/>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t>22. Energy diversity</w:t>
            </w:r>
          </w:p>
        </w:tc>
        <w:tc>
          <w:tcPr>
            <w:tcW w:w="3087" w:type="dxa"/>
          </w:tcPr>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tc>
        <w:tc>
          <w:tcPr>
            <w:tcW w:w="2976" w:type="dxa"/>
          </w:tcPr>
          <w:p w:rsidR="00625744" w:rsidRPr="00D06157" w:rsidRDefault="00625744" w:rsidP="008F6DD5">
            <w:pPr>
              <w:spacing w:before="120" w:after="120"/>
              <w:rPr>
                <w:sz w:val="20"/>
                <w:szCs w:val="20"/>
              </w:rPr>
            </w:pPr>
          </w:p>
        </w:tc>
        <w:tc>
          <w:tcPr>
            <w:tcW w:w="3119" w:type="dxa"/>
          </w:tcPr>
          <w:p w:rsidR="00625744" w:rsidRPr="00D06157" w:rsidRDefault="00625744" w:rsidP="008F6DD5">
            <w:pPr>
              <w:spacing w:before="120" w:after="120"/>
              <w:rPr>
                <w:sz w:val="20"/>
                <w:szCs w:val="20"/>
              </w:rPr>
            </w:pPr>
          </w:p>
        </w:tc>
        <w:tc>
          <w:tcPr>
            <w:tcW w:w="1843" w:type="dxa"/>
          </w:tcPr>
          <w:p w:rsidR="00625744" w:rsidRPr="00D06157" w:rsidRDefault="00625744" w:rsidP="008F6DD5">
            <w:pPr>
              <w:spacing w:before="120" w:after="120"/>
              <w:rPr>
                <w:sz w:val="20"/>
                <w:szCs w:val="20"/>
              </w:rPr>
            </w:pPr>
          </w:p>
        </w:tc>
        <w:tc>
          <w:tcPr>
            <w:tcW w:w="2494" w:type="dxa"/>
          </w:tcPr>
          <w:p w:rsidR="00625744" w:rsidRPr="00D06157" w:rsidRDefault="00625744" w:rsidP="008F6DD5">
            <w:pPr>
              <w:spacing w:before="120" w:after="120"/>
              <w:rPr>
                <w:sz w:val="20"/>
                <w:szCs w:val="20"/>
              </w:rPr>
            </w:pPr>
          </w:p>
        </w:tc>
      </w:tr>
      <w:tr w:rsidR="00625744" w:rsidTr="008F6DD5">
        <w:tc>
          <w:tcPr>
            <w:tcW w:w="1961" w:type="dxa"/>
            <w:vAlign w:val="center"/>
          </w:tcPr>
          <w:p w:rsidR="00625744" w:rsidRPr="003736FE" w:rsidRDefault="00625744" w:rsidP="008F6DD5">
            <w:pPr>
              <w:pStyle w:val="Default"/>
              <w:spacing w:before="120" w:after="120"/>
              <w:rPr>
                <w:sz w:val="18"/>
                <w:szCs w:val="18"/>
              </w:rPr>
            </w:pPr>
            <w:r>
              <w:rPr>
                <w:b/>
                <w:bCs/>
                <w:sz w:val="18"/>
                <w:szCs w:val="18"/>
              </w:rPr>
              <w:lastRenderedPageBreak/>
              <w:t xml:space="preserve">23. Infrastructure and logistics for distribution of bioenergy </w:t>
            </w:r>
          </w:p>
        </w:tc>
        <w:tc>
          <w:tcPr>
            <w:tcW w:w="3087" w:type="dxa"/>
          </w:tcPr>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tc>
        <w:tc>
          <w:tcPr>
            <w:tcW w:w="2976" w:type="dxa"/>
          </w:tcPr>
          <w:p w:rsidR="00625744" w:rsidRPr="00D06157" w:rsidRDefault="00625744" w:rsidP="008F6DD5">
            <w:pPr>
              <w:spacing w:before="120" w:after="120"/>
              <w:rPr>
                <w:sz w:val="20"/>
                <w:szCs w:val="20"/>
              </w:rPr>
            </w:pPr>
          </w:p>
        </w:tc>
        <w:tc>
          <w:tcPr>
            <w:tcW w:w="3119" w:type="dxa"/>
          </w:tcPr>
          <w:p w:rsidR="00625744" w:rsidRPr="00D06157" w:rsidRDefault="00625744" w:rsidP="008F6DD5">
            <w:pPr>
              <w:spacing w:before="120" w:after="120"/>
              <w:rPr>
                <w:sz w:val="20"/>
                <w:szCs w:val="20"/>
              </w:rPr>
            </w:pPr>
          </w:p>
        </w:tc>
        <w:tc>
          <w:tcPr>
            <w:tcW w:w="1843" w:type="dxa"/>
          </w:tcPr>
          <w:p w:rsidR="00625744" w:rsidRPr="00D06157" w:rsidRDefault="00625744" w:rsidP="008F6DD5">
            <w:pPr>
              <w:spacing w:before="120" w:after="120"/>
              <w:rPr>
                <w:sz w:val="20"/>
                <w:szCs w:val="20"/>
              </w:rPr>
            </w:pPr>
          </w:p>
        </w:tc>
        <w:tc>
          <w:tcPr>
            <w:tcW w:w="2494" w:type="dxa"/>
          </w:tcPr>
          <w:p w:rsidR="00625744" w:rsidRPr="00D06157" w:rsidRDefault="00625744" w:rsidP="008F6DD5">
            <w:pPr>
              <w:spacing w:before="120" w:after="120"/>
              <w:rPr>
                <w:sz w:val="20"/>
                <w:szCs w:val="20"/>
              </w:rPr>
            </w:pPr>
          </w:p>
        </w:tc>
      </w:tr>
      <w:tr w:rsidR="00625744" w:rsidTr="00625744">
        <w:trPr>
          <w:trHeight w:val="577"/>
        </w:trPr>
        <w:tc>
          <w:tcPr>
            <w:tcW w:w="1961" w:type="dxa"/>
            <w:vAlign w:val="center"/>
          </w:tcPr>
          <w:p w:rsidR="00625744" w:rsidRPr="003736FE" w:rsidRDefault="00625744" w:rsidP="008F6DD5">
            <w:pPr>
              <w:pStyle w:val="Default"/>
              <w:spacing w:before="120" w:after="120"/>
              <w:rPr>
                <w:sz w:val="18"/>
                <w:szCs w:val="18"/>
              </w:rPr>
            </w:pPr>
            <w:r>
              <w:rPr>
                <w:b/>
                <w:bCs/>
                <w:sz w:val="18"/>
                <w:szCs w:val="18"/>
              </w:rPr>
              <w:t xml:space="preserve">24. Capacity and flexibility of use of bioenergy </w:t>
            </w:r>
          </w:p>
        </w:tc>
        <w:tc>
          <w:tcPr>
            <w:tcW w:w="3087" w:type="dxa"/>
          </w:tcPr>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p w:rsidR="00625744" w:rsidRPr="00D06157" w:rsidRDefault="00625744" w:rsidP="008F6DD5">
            <w:pPr>
              <w:spacing w:before="120" w:after="120"/>
              <w:rPr>
                <w:sz w:val="20"/>
                <w:szCs w:val="20"/>
              </w:rPr>
            </w:pPr>
          </w:p>
        </w:tc>
        <w:tc>
          <w:tcPr>
            <w:tcW w:w="2976" w:type="dxa"/>
          </w:tcPr>
          <w:p w:rsidR="00625744" w:rsidRPr="00D06157" w:rsidRDefault="00625744" w:rsidP="008F6DD5">
            <w:pPr>
              <w:spacing w:before="120" w:after="120"/>
              <w:rPr>
                <w:sz w:val="20"/>
                <w:szCs w:val="20"/>
              </w:rPr>
            </w:pPr>
          </w:p>
        </w:tc>
        <w:tc>
          <w:tcPr>
            <w:tcW w:w="3119" w:type="dxa"/>
          </w:tcPr>
          <w:p w:rsidR="00625744" w:rsidRPr="00D06157" w:rsidRDefault="00625744" w:rsidP="008F6DD5">
            <w:pPr>
              <w:spacing w:before="120" w:after="120"/>
              <w:rPr>
                <w:sz w:val="20"/>
                <w:szCs w:val="20"/>
              </w:rPr>
            </w:pPr>
          </w:p>
        </w:tc>
        <w:tc>
          <w:tcPr>
            <w:tcW w:w="1843" w:type="dxa"/>
          </w:tcPr>
          <w:p w:rsidR="00625744" w:rsidRPr="00D06157" w:rsidRDefault="00625744" w:rsidP="008F6DD5">
            <w:pPr>
              <w:spacing w:before="120" w:after="120"/>
              <w:rPr>
                <w:sz w:val="20"/>
                <w:szCs w:val="20"/>
              </w:rPr>
            </w:pPr>
          </w:p>
        </w:tc>
        <w:tc>
          <w:tcPr>
            <w:tcW w:w="2494" w:type="dxa"/>
          </w:tcPr>
          <w:p w:rsidR="00625744" w:rsidRPr="00D06157" w:rsidRDefault="00625744" w:rsidP="008F6DD5">
            <w:pPr>
              <w:spacing w:before="120" w:after="120"/>
              <w:rPr>
                <w:sz w:val="20"/>
                <w:szCs w:val="20"/>
              </w:rPr>
            </w:pPr>
          </w:p>
        </w:tc>
      </w:tr>
    </w:tbl>
    <w:p w:rsidR="00625744" w:rsidRPr="002258EC" w:rsidRDefault="00625744" w:rsidP="00625744">
      <w:pPr>
        <w:spacing w:after="120"/>
      </w:pPr>
    </w:p>
    <w:p w:rsidR="00625744" w:rsidRDefault="00625744" w:rsidP="00782B02">
      <w:pPr>
        <w:jc w:val="both"/>
        <w:rPr>
          <w:lang w:eastAsia="it-IT"/>
        </w:rPr>
      </w:pPr>
    </w:p>
    <w:p w:rsidR="00625744" w:rsidRDefault="00625744" w:rsidP="00782B02">
      <w:pPr>
        <w:jc w:val="both"/>
        <w:rPr>
          <w:lang w:eastAsia="it-IT"/>
        </w:rPr>
      </w:pPr>
    </w:p>
    <w:p w:rsidR="00625744" w:rsidRDefault="00625744" w:rsidP="00782B02">
      <w:pPr>
        <w:jc w:val="both"/>
        <w:rPr>
          <w:lang w:eastAsia="it-IT"/>
        </w:rPr>
      </w:pPr>
    </w:p>
    <w:sectPr w:rsidR="00625744" w:rsidSect="00A15830">
      <w:footerReference w:type="even" r:id="rId7"/>
      <w:footerReference w:type="default" r:id="rId8"/>
      <w:headerReference w:type="first" r:id="rId9"/>
      <w:footerReference w:type="first" r:id="rId10"/>
      <w:pgSz w:w="16839" w:h="11907" w:orient="landscape" w:code="9"/>
      <w:pgMar w:top="567" w:right="1276" w:bottom="567" w:left="992" w:header="1077"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586" w:rsidRDefault="00DA4586">
      <w:r>
        <w:separator/>
      </w:r>
    </w:p>
  </w:endnote>
  <w:endnote w:type="continuationSeparator" w:id="0">
    <w:p w:rsidR="00DA4586" w:rsidRDefault="00DA45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B5" w:rsidRDefault="003B145D" w:rsidP="00065AB9">
    <w:pPr>
      <w:pStyle w:val="Footer"/>
      <w:framePr w:wrap="around" w:vAnchor="text" w:hAnchor="margin" w:xAlign="center" w:y="1"/>
      <w:rPr>
        <w:rStyle w:val="PageNumber"/>
      </w:rPr>
    </w:pPr>
    <w:r>
      <w:rPr>
        <w:rStyle w:val="PageNumber"/>
      </w:rPr>
      <w:fldChar w:fldCharType="begin"/>
    </w:r>
    <w:r w:rsidR="009A1CB5">
      <w:rPr>
        <w:rStyle w:val="PageNumber"/>
      </w:rPr>
      <w:instrText xml:space="preserve">PAGE  </w:instrText>
    </w:r>
    <w:r>
      <w:rPr>
        <w:rStyle w:val="PageNumber"/>
      </w:rPr>
      <w:fldChar w:fldCharType="end"/>
    </w:r>
  </w:p>
  <w:p w:rsidR="009A1CB5" w:rsidRDefault="009A1C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B5" w:rsidRDefault="009A1CB5" w:rsidP="00065AB9">
    <w:pPr>
      <w:pStyle w:val="Footer"/>
      <w:framePr w:wrap="around" w:vAnchor="text" w:hAnchor="margin" w:xAlign="center" w:y="1"/>
      <w:rPr>
        <w:rStyle w:val="PageNumber"/>
        <w:sz w:val="20"/>
        <w:szCs w:val="20"/>
      </w:rPr>
    </w:pPr>
  </w:p>
  <w:p w:rsidR="009A1CB5" w:rsidRPr="0071796F" w:rsidRDefault="003B145D" w:rsidP="00FE1169">
    <w:pPr>
      <w:pStyle w:val="Footer"/>
      <w:framePr w:wrap="around" w:vAnchor="text" w:hAnchor="margin" w:xAlign="center" w:y="1"/>
      <w:jc w:val="center"/>
      <w:rPr>
        <w:rStyle w:val="PageNumber"/>
        <w:sz w:val="20"/>
        <w:szCs w:val="20"/>
      </w:rPr>
    </w:pPr>
    <w:r w:rsidRPr="0071796F">
      <w:rPr>
        <w:rStyle w:val="PageNumber"/>
        <w:sz w:val="20"/>
        <w:szCs w:val="20"/>
      </w:rPr>
      <w:fldChar w:fldCharType="begin"/>
    </w:r>
    <w:r w:rsidR="009A1CB5" w:rsidRPr="0071796F">
      <w:rPr>
        <w:rStyle w:val="PageNumber"/>
        <w:sz w:val="20"/>
        <w:szCs w:val="20"/>
      </w:rPr>
      <w:instrText xml:space="preserve">PAGE  </w:instrText>
    </w:r>
    <w:r w:rsidRPr="0071796F">
      <w:rPr>
        <w:rStyle w:val="PageNumber"/>
        <w:sz w:val="20"/>
        <w:szCs w:val="20"/>
      </w:rPr>
      <w:fldChar w:fldCharType="separate"/>
    </w:r>
    <w:r w:rsidR="00077757">
      <w:rPr>
        <w:rStyle w:val="PageNumber"/>
        <w:noProof/>
        <w:sz w:val="20"/>
        <w:szCs w:val="20"/>
      </w:rPr>
      <w:t>2</w:t>
    </w:r>
    <w:r w:rsidRPr="0071796F">
      <w:rPr>
        <w:rStyle w:val="PageNumber"/>
        <w:sz w:val="20"/>
        <w:szCs w:val="20"/>
      </w:rPr>
      <w:fldChar w:fldCharType="end"/>
    </w:r>
  </w:p>
  <w:p w:rsidR="009A1CB5" w:rsidRDefault="009A1C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438707"/>
      <w:docPartObj>
        <w:docPartGallery w:val="Page Numbers (Bottom of Page)"/>
        <w:docPartUnique/>
      </w:docPartObj>
    </w:sdtPr>
    <w:sdtContent>
      <w:p w:rsidR="00A15830" w:rsidRDefault="003B145D" w:rsidP="00A15830">
        <w:pPr>
          <w:pStyle w:val="Footer"/>
          <w:jc w:val="center"/>
        </w:pPr>
        <w:r>
          <w:fldChar w:fldCharType="begin"/>
        </w:r>
        <w:r w:rsidR="00D95842">
          <w:instrText xml:space="preserve"> PAGE   \* MERGEFORMAT </w:instrText>
        </w:r>
        <w:r>
          <w:fldChar w:fldCharType="separate"/>
        </w:r>
        <w:r w:rsidR="00077757">
          <w:rPr>
            <w:noProof/>
          </w:rPr>
          <w:t>1</w:t>
        </w:r>
        <w:r>
          <w:rPr>
            <w:noProof/>
          </w:rPr>
          <w:fldChar w:fldCharType="end"/>
        </w:r>
      </w:p>
    </w:sdtContent>
  </w:sdt>
  <w:p w:rsidR="00A15830" w:rsidRDefault="00A158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586" w:rsidRDefault="00DA4586">
      <w:r>
        <w:separator/>
      </w:r>
    </w:p>
  </w:footnote>
  <w:footnote w:type="continuationSeparator" w:id="0">
    <w:p w:rsidR="00DA4586" w:rsidRDefault="00DA4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B5" w:rsidRDefault="004753AE">
    <w:pPr>
      <w:pStyle w:val="Header"/>
    </w:pPr>
    <w:r>
      <w:rPr>
        <w:noProof/>
      </w:rPr>
      <w:drawing>
        <wp:anchor distT="0" distB="0" distL="114300" distR="114300" simplePos="0" relativeHeight="251657728" behindDoc="0" locked="0" layoutInCell="1" allowOverlap="1">
          <wp:simplePos x="0" y="0"/>
          <wp:positionH relativeFrom="column">
            <wp:posOffset>-281305</wp:posOffset>
          </wp:positionH>
          <wp:positionV relativeFrom="paragraph">
            <wp:posOffset>-464820</wp:posOffset>
          </wp:positionV>
          <wp:extent cx="6534150" cy="7397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531461" cy="739471"/>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5E0"/>
    <w:multiLevelType w:val="hybridMultilevel"/>
    <w:tmpl w:val="914453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82268"/>
    <w:multiLevelType w:val="hybridMultilevel"/>
    <w:tmpl w:val="1A24584C"/>
    <w:lvl w:ilvl="0" w:tplc="B924459E">
      <w:start w:val="1"/>
      <w:numFmt w:val="decimal"/>
      <w:lvlText w:val="%1)"/>
      <w:lvlJc w:val="left"/>
      <w:pPr>
        <w:ind w:left="720" w:hanging="360"/>
      </w:pPr>
      <w:rPr>
        <w:rFonts w:asciiTheme="minorHAnsi" w:eastAsiaTheme="minorHAnsi" w:hAnsiTheme="minorHAns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546C2"/>
    <w:multiLevelType w:val="hybridMultilevel"/>
    <w:tmpl w:val="E1F4E6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E339D"/>
    <w:multiLevelType w:val="hybridMultilevel"/>
    <w:tmpl w:val="61AC8560"/>
    <w:lvl w:ilvl="0" w:tplc="E95AA62C">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
    <w:nsid w:val="0DA06290"/>
    <w:multiLevelType w:val="hybridMultilevel"/>
    <w:tmpl w:val="FAAE80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05D70"/>
    <w:multiLevelType w:val="hybridMultilevel"/>
    <w:tmpl w:val="BCF238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2A14E8"/>
    <w:multiLevelType w:val="hybridMultilevel"/>
    <w:tmpl w:val="48CC1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D49AF"/>
    <w:multiLevelType w:val="hybridMultilevel"/>
    <w:tmpl w:val="E1BA26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B7A50"/>
    <w:multiLevelType w:val="hybridMultilevel"/>
    <w:tmpl w:val="0832AE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A4104"/>
    <w:multiLevelType w:val="hybridMultilevel"/>
    <w:tmpl w:val="706C75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6623EB2"/>
    <w:multiLevelType w:val="hybridMultilevel"/>
    <w:tmpl w:val="E9B6746A"/>
    <w:lvl w:ilvl="0" w:tplc="4B6619A4">
      <w:start w:val="1"/>
      <w:numFmt w:val="decimal"/>
      <w:lvlText w:val="%1)"/>
      <w:lvlJc w:val="left"/>
      <w:pPr>
        <w:ind w:left="419" w:hanging="360"/>
      </w:pPr>
      <w:rPr>
        <w:rFonts w:hint="default"/>
      </w:rPr>
    </w:lvl>
    <w:lvl w:ilvl="1" w:tplc="04090019" w:tentative="1">
      <w:start w:val="1"/>
      <w:numFmt w:val="lowerLetter"/>
      <w:lvlText w:val="%2."/>
      <w:lvlJc w:val="left"/>
      <w:pPr>
        <w:ind w:left="1139" w:hanging="360"/>
      </w:pPr>
    </w:lvl>
    <w:lvl w:ilvl="2" w:tplc="0409001B" w:tentative="1">
      <w:start w:val="1"/>
      <w:numFmt w:val="lowerRoman"/>
      <w:lvlText w:val="%3."/>
      <w:lvlJc w:val="right"/>
      <w:pPr>
        <w:ind w:left="1859" w:hanging="180"/>
      </w:pPr>
    </w:lvl>
    <w:lvl w:ilvl="3" w:tplc="0409000F" w:tentative="1">
      <w:start w:val="1"/>
      <w:numFmt w:val="decimal"/>
      <w:lvlText w:val="%4."/>
      <w:lvlJc w:val="left"/>
      <w:pPr>
        <w:ind w:left="2579" w:hanging="360"/>
      </w:pPr>
    </w:lvl>
    <w:lvl w:ilvl="4" w:tplc="04090019" w:tentative="1">
      <w:start w:val="1"/>
      <w:numFmt w:val="lowerLetter"/>
      <w:lvlText w:val="%5."/>
      <w:lvlJc w:val="left"/>
      <w:pPr>
        <w:ind w:left="3299" w:hanging="360"/>
      </w:pPr>
    </w:lvl>
    <w:lvl w:ilvl="5" w:tplc="0409001B" w:tentative="1">
      <w:start w:val="1"/>
      <w:numFmt w:val="lowerRoman"/>
      <w:lvlText w:val="%6."/>
      <w:lvlJc w:val="right"/>
      <w:pPr>
        <w:ind w:left="4019" w:hanging="180"/>
      </w:pPr>
    </w:lvl>
    <w:lvl w:ilvl="6" w:tplc="0409000F" w:tentative="1">
      <w:start w:val="1"/>
      <w:numFmt w:val="decimal"/>
      <w:lvlText w:val="%7."/>
      <w:lvlJc w:val="left"/>
      <w:pPr>
        <w:ind w:left="4739" w:hanging="360"/>
      </w:pPr>
    </w:lvl>
    <w:lvl w:ilvl="7" w:tplc="04090019" w:tentative="1">
      <w:start w:val="1"/>
      <w:numFmt w:val="lowerLetter"/>
      <w:lvlText w:val="%8."/>
      <w:lvlJc w:val="left"/>
      <w:pPr>
        <w:ind w:left="5459" w:hanging="360"/>
      </w:pPr>
    </w:lvl>
    <w:lvl w:ilvl="8" w:tplc="0409001B" w:tentative="1">
      <w:start w:val="1"/>
      <w:numFmt w:val="lowerRoman"/>
      <w:lvlText w:val="%9."/>
      <w:lvlJc w:val="right"/>
      <w:pPr>
        <w:ind w:left="6179" w:hanging="180"/>
      </w:pPr>
    </w:lvl>
  </w:abstractNum>
  <w:abstractNum w:abstractNumId="11">
    <w:nsid w:val="2A14038B"/>
    <w:multiLevelType w:val="hybridMultilevel"/>
    <w:tmpl w:val="960CC1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7916AE"/>
    <w:multiLevelType w:val="hybridMultilevel"/>
    <w:tmpl w:val="EBB639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E05E78"/>
    <w:multiLevelType w:val="hybridMultilevel"/>
    <w:tmpl w:val="375406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7D7B2E"/>
    <w:multiLevelType w:val="hybridMultilevel"/>
    <w:tmpl w:val="BB7C05CA"/>
    <w:lvl w:ilvl="0" w:tplc="5F4203EC">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15">
    <w:nsid w:val="338F2C99"/>
    <w:multiLevelType w:val="hybridMultilevel"/>
    <w:tmpl w:val="254A0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496B97"/>
    <w:multiLevelType w:val="hybridMultilevel"/>
    <w:tmpl w:val="66703B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C86979"/>
    <w:multiLevelType w:val="hybridMultilevel"/>
    <w:tmpl w:val="71543C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0724B1"/>
    <w:multiLevelType w:val="hybridMultilevel"/>
    <w:tmpl w:val="ED348C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740DE6"/>
    <w:multiLevelType w:val="hybridMultilevel"/>
    <w:tmpl w:val="AA225D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0D40CD"/>
    <w:multiLevelType w:val="hybridMultilevel"/>
    <w:tmpl w:val="CB006F9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D46A7E"/>
    <w:multiLevelType w:val="hybridMultilevel"/>
    <w:tmpl w:val="8E6A0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E67FC7"/>
    <w:multiLevelType w:val="hybridMultilevel"/>
    <w:tmpl w:val="5978B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7A7598"/>
    <w:multiLevelType w:val="hybridMultilevel"/>
    <w:tmpl w:val="2CB2F0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673D4B"/>
    <w:multiLevelType w:val="hybridMultilevel"/>
    <w:tmpl w:val="576676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2E22BF"/>
    <w:multiLevelType w:val="hybridMultilevel"/>
    <w:tmpl w:val="212E6DEA"/>
    <w:lvl w:ilvl="0" w:tplc="0FF212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25"/>
  </w:num>
  <w:num w:numId="4">
    <w:abstractNumId w:val="0"/>
  </w:num>
  <w:num w:numId="5">
    <w:abstractNumId w:val="5"/>
  </w:num>
  <w:num w:numId="6">
    <w:abstractNumId w:val="24"/>
  </w:num>
  <w:num w:numId="7">
    <w:abstractNumId w:val="15"/>
  </w:num>
  <w:num w:numId="8">
    <w:abstractNumId w:val="13"/>
  </w:num>
  <w:num w:numId="9">
    <w:abstractNumId w:val="22"/>
  </w:num>
  <w:num w:numId="10">
    <w:abstractNumId w:val="2"/>
  </w:num>
  <w:num w:numId="11">
    <w:abstractNumId w:val="8"/>
  </w:num>
  <w:num w:numId="12">
    <w:abstractNumId w:val="1"/>
  </w:num>
  <w:num w:numId="13">
    <w:abstractNumId w:val="14"/>
  </w:num>
  <w:num w:numId="14">
    <w:abstractNumId w:val="7"/>
  </w:num>
  <w:num w:numId="15">
    <w:abstractNumId w:val="3"/>
  </w:num>
  <w:num w:numId="16">
    <w:abstractNumId w:val="4"/>
  </w:num>
  <w:num w:numId="17">
    <w:abstractNumId w:val="12"/>
  </w:num>
  <w:num w:numId="18">
    <w:abstractNumId w:val="18"/>
  </w:num>
  <w:num w:numId="19">
    <w:abstractNumId w:val="6"/>
  </w:num>
  <w:num w:numId="20">
    <w:abstractNumId w:val="17"/>
  </w:num>
  <w:num w:numId="21">
    <w:abstractNumId w:val="11"/>
  </w:num>
  <w:num w:numId="22">
    <w:abstractNumId w:val="23"/>
  </w:num>
  <w:num w:numId="23">
    <w:abstractNumId w:val="9"/>
  </w:num>
  <w:num w:numId="24">
    <w:abstractNumId w:val="10"/>
  </w:num>
  <w:num w:numId="25">
    <w:abstractNumId w:val="16"/>
  </w:num>
  <w:num w:numId="26">
    <w:abstractNumId w:val="2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130644"/>
    <w:rsid w:val="000049B0"/>
    <w:rsid w:val="0001225F"/>
    <w:rsid w:val="000136A5"/>
    <w:rsid w:val="00015B93"/>
    <w:rsid w:val="00027F18"/>
    <w:rsid w:val="000306F9"/>
    <w:rsid w:val="00030A54"/>
    <w:rsid w:val="00031F7B"/>
    <w:rsid w:val="00032E22"/>
    <w:rsid w:val="000417DC"/>
    <w:rsid w:val="00041875"/>
    <w:rsid w:val="00043372"/>
    <w:rsid w:val="00044567"/>
    <w:rsid w:val="00045EFE"/>
    <w:rsid w:val="00046E73"/>
    <w:rsid w:val="000517B2"/>
    <w:rsid w:val="00051FE4"/>
    <w:rsid w:val="00052A67"/>
    <w:rsid w:val="00053219"/>
    <w:rsid w:val="00053A94"/>
    <w:rsid w:val="00056465"/>
    <w:rsid w:val="00065AB9"/>
    <w:rsid w:val="000713E9"/>
    <w:rsid w:val="00077757"/>
    <w:rsid w:val="000808EB"/>
    <w:rsid w:val="00083DB8"/>
    <w:rsid w:val="0008599E"/>
    <w:rsid w:val="000942FA"/>
    <w:rsid w:val="000950C0"/>
    <w:rsid w:val="00095ED8"/>
    <w:rsid w:val="000962D4"/>
    <w:rsid w:val="000A1CCC"/>
    <w:rsid w:val="000A21BC"/>
    <w:rsid w:val="000A2AF3"/>
    <w:rsid w:val="000A323F"/>
    <w:rsid w:val="000B2114"/>
    <w:rsid w:val="000B4EA7"/>
    <w:rsid w:val="000C2648"/>
    <w:rsid w:val="000C43FB"/>
    <w:rsid w:val="000D5B63"/>
    <w:rsid w:val="000D66E7"/>
    <w:rsid w:val="000E205B"/>
    <w:rsid w:val="000E3C04"/>
    <w:rsid w:val="000E6746"/>
    <w:rsid w:val="000F1443"/>
    <w:rsid w:val="000F216B"/>
    <w:rsid w:val="000F49DE"/>
    <w:rsid w:val="000F5EA6"/>
    <w:rsid w:val="0010504E"/>
    <w:rsid w:val="00105339"/>
    <w:rsid w:val="0011010F"/>
    <w:rsid w:val="00114D6C"/>
    <w:rsid w:val="00120A2F"/>
    <w:rsid w:val="001243A2"/>
    <w:rsid w:val="0012444C"/>
    <w:rsid w:val="00130644"/>
    <w:rsid w:val="00137DDD"/>
    <w:rsid w:val="00141BFF"/>
    <w:rsid w:val="00144492"/>
    <w:rsid w:val="001520CE"/>
    <w:rsid w:val="001639F0"/>
    <w:rsid w:val="00165C71"/>
    <w:rsid w:val="00173E10"/>
    <w:rsid w:val="00180B34"/>
    <w:rsid w:val="001902D2"/>
    <w:rsid w:val="0019102E"/>
    <w:rsid w:val="00191C66"/>
    <w:rsid w:val="00192B12"/>
    <w:rsid w:val="001A0B9B"/>
    <w:rsid w:val="001A1BA4"/>
    <w:rsid w:val="001C2AC1"/>
    <w:rsid w:val="001D2B47"/>
    <w:rsid w:val="001D5688"/>
    <w:rsid w:val="001D688C"/>
    <w:rsid w:val="001F79D1"/>
    <w:rsid w:val="00215133"/>
    <w:rsid w:val="00216437"/>
    <w:rsid w:val="002179C6"/>
    <w:rsid w:val="00220B4C"/>
    <w:rsid w:val="00223109"/>
    <w:rsid w:val="00224424"/>
    <w:rsid w:val="00226098"/>
    <w:rsid w:val="002314C2"/>
    <w:rsid w:val="0023181D"/>
    <w:rsid w:val="00231D9F"/>
    <w:rsid w:val="00232F3A"/>
    <w:rsid w:val="00233476"/>
    <w:rsid w:val="002347BD"/>
    <w:rsid w:val="00234EB1"/>
    <w:rsid w:val="00252FDE"/>
    <w:rsid w:val="00254768"/>
    <w:rsid w:val="0025482A"/>
    <w:rsid w:val="002647AF"/>
    <w:rsid w:val="00264F2E"/>
    <w:rsid w:val="00265696"/>
    <w:rsid w:val="00273A9E"/>
    <w:rsid w:val="00277B56"/>
    <w:rsid w:val="00281222"/>
    <w:rsid w:val="00296776"/>
    <w:rsid w:val="002A245E"/>
    <w:rsid w:val="002A57F0"/>
    <w:rsid w:val="002A6ABD"/>
    <w:rsid w:val="002B39C0"/>
    <w:rsid w:val="002B682D"/>
    <w:rsid w:val="002C0057"/>
    <w:rsid w:val="002C46F9"/>
    <w:rsid w:val="002D291B"/>
    <w:rsid w:val="002E0D15"/>
    <w:rsid w:val="002E523F"/>
    <w:rsid w:val="002F6792"/>
    <w:rsid w:val="002F74B7"/>
    <w:rsid w:val="003167FD"/>
    <w:rsid w:val="0032067E"/>
    <w:rsid w:val="00320AB1"/>
    <w:rsid w:val="0032196F"/>
    <w:rsid w:val="003223D8"/>
    <w:rsid w:val="00323B46"/>
    <w:rsid w:val="003246A7"/>
    <w:rsid w:val="00325863"/>
    <w:rsid w:val="00326980"/>
    <w:rsid w:val="0033706D"/>
    <w:rsid w:val="0034239C"/>
    <w:rsid w:val="003601B9"/>
    <w:rsid w:val="0036436C"/>
    <w:rsid w:val="003662EE"/>
    <w:rsid w:val="003704A4"/>
    <w:rsid w:val="0037180F"/>
    <w:rsid w:val="003728AA"/>
    <w:rsid w:val="003756D4"/>
    <w:rsid w:val="00390F19"/>
    <w:rsid w:val="0039231F"/>
    <w:rsid w:val="003928D7"/>
    <w:rsid w:val="003B055A"/>
    <w:rsid w:val="003B0DEA"/>
    <w:rsid w:val="003B145D"/>
    <w:rsid w:val="003C0646"/>
    <w:rsid w:val="003C235C"/>
    <w:rsid w:val="003C2694"/>
    <w:rsid w:val="003C2F19"/>
    <w:rsid w:val="003C50CF"/>
    <w:rsid w:val="003D7EF4"/>
    <w:rsid w:val="003E091F"/>
    <w:rsid w:val="003E5F73"/>
    <w:rsid w:val="003F213F"/>
    <w:rsid w:val="003F6C40"/>
    <w:rsid w:val="0040070B"/>
    <w:rsid w:val="00405062"/>
    <w:rsid w:val="00405297"/>
    <w:rsid w:val="00410192"/>
    <w:rsid w:val="00423F31"/>
    <w:rsid w:val="00432A97"/>
    <w:rsid w:val="00433417"/>
    <w:rsid w:val="00436DF1"/>
    <w:rsid w:val="0043728E"/>
    <w:rsid w:val="00463F69"/>
    <w:rsid w:val="00464164"/>
    <w:rsid w:val="00467DA7"/>
    <w:rsid w:val="00470889"/>
    <w:rsid w:val="004753AE"/>
    <w:rsid w:val="0047674D"/>
    <w:rsid w:val="00482461"/>
    <w:rsid w:val="004831BA"/>
    <w:rsid w:val="00484262"/>
    <w:rsid w:val="00485393"/>
    <w:rsid w:val="004856BF"/>
    <w:rsid w:val="004A3B5D"/>
    <w:rsid w:val="004B0196"/>
    <w:rsid w:val="004B14B4"/>
    <w:rsid w:val="004B44B7"/>
    <w:rsid w:val="004B5663"/>
    <w:rsid w:val="004C0B22"/>
    <w:rsid w:val="004C18E4"/>
    <w:rsid w:val="004C4DB7"/>
    <w:rsid w:val="004C7F74"/>
    <w:rsid w:val="004D1EB0"/>
    <w:rsid w:val="004D5843"/>
    <w:rsid w:val="004D7F2D"/>
    <w:rsid w:val="004E2C63"/>
    <w:rsid w:val="004E5F25"/>
    <w:rsid w:val="004E7F15"/>
    <w:rsid w:val="004F29A8"/>
    <w:rsid w:val="004F5E4D"/>
    <w:rsid w:val="004F74D8"/>
    <w:rsid w:val="00507E70"/>
    <w:rsid w:val="0051326B"/>
    <w:rsid w:val="00514CA9"/>
    <w:rsid w:val="0052788E"/>
    <w:rsid w:val="00531718"/>
    <w:rsid w:val="005330EA"/>
    <w:rsid w:val="00534CEA"/>
    <w:rsid w:val="00537E60"/>
    <w:rsid w:val="0054138E"/>
    <w:rsid w:val="00545705"/>
    <w:rsid w:val="00545B8A"/>
    <w:rsid w:val="005531DE"/>
    <w:rsid w:val="00554BCD"/>
    <w:rsid w:val="00557E92"/>
    <w:rsid w:val="00567799"/>
    <w:rsid w:val="0057098D"/>
    <w:rsid w:val="00572E41"/>
    <w:rsid w:val="005760E6"/>
    <w:rsid w:val="00576E3E"/>
    <w:rsid w:val="005822FC"/>
    <w:rsid w:val="00585D75"/>
    <w:rsid w:val="00587114"/>
    <w:rsid w:val="005876CB"/>
    <w:rsid w:val="005A1D80"/>
    <w:rsid w:val="005A32F6"/>
    <w:rsid w:val="005A7585"/>
    <w:rsid w:val="005B2C6A"/>
    <w:rsid w:val="005C44C0"/>
    <w:rsid w:val="005D7C37"/>
    <w:rsid w:val="005E6AC8"/>
    <w:rsid w:val="005F14E0"/>
    <w:rsid w:val="00601AF7"/>
    <w:rsid w:val="0060461A"/>
    <w:rsid w:val="00606061"/>
    <w:rsid w:val="00606AE8"/>
    <w:rsid w:val="006144AE"/>
    <w:rsid w:val="006218CF"/>
    <w:rsid w:val="00622607"/>
    <w:rsid w:val="006237F0"/>
    <w:rsid w:val="00625744"/>
    <w:rsid w:val="0062650E"/>
    <w:rsid w:val="00630CD0"/>
    <w:rsid w:val="00632073"/>
    <w:rsid w:val="006433C5"/>
    <w:rsid w:val="0064623B"/>
    <w:rsid w:val="006522B6"/>
    <w:rsid w:val="00652AA7"/>
    <w:rsid w:val="006557D5"/>
    <w:rsid w:val="0065694D"/>
    <w:rsid w:val="00664B8F"/>
    <w:rsid w:val="00670CCF"/>
    <w:rsid w:val="00670D23"/>
    <w:rsid w:val="00670D5A"/>
    <w:rsid w:val="006745C2"/>
    <w:rsid w:val="00674F1D"/>
    <w:rsid w:val="00686D19"/>
    <w:rsid w:val="00694D94"/>
    <w:rsid w:val="006972ED"/>
    <w:rsid w:val="006A2041"/>
    <w:rsid w:val="006A28DF"/>
    <w:rsid w:val="006A4730"/>
    <w:rsid w:val="006B22DB"/>
    <w:rsid w:val="006B379E"/>
    <w:rsid w:val="006C14F1"/>
    <w:rsid w:val="006C20CA"/>
    <w:rsid w:val="006C5B30"/>
    <w:rsid w:val="006C6392"/>
    <w:rsid w:val="006C74FE"/>
    <w:rsid w:val="006E7891"/>
    <w:rsid w:val="006F0AFB"/>
    <w:rsid w:val="006F0D59"/>
    <w:rsid w:val="006F1C17"/>
    <w:rsid w:val="006F695B"/>
    <w:rsid w:val="00707C22"/>
    <w:rsid w:val="007116FD"/>
    <w:rsid w:val="0071323E"/>
    <w:rsid w:val="00714C78"/>
    <w:rsid w:val="007150D8"/>
    <w:rsid w:val="0071796F"/>
    <w:rsid w:val="007216FA"/>
    <w:rsid w:val="0072594E"/>
    <w:rsid w:val="007372DD"/>
    <w:rsid w:val="00740F03"/>
    <w:rsid w:val="00741728"/>
    <w:rsid w:val="0074530B"/>
    <w:rsid w:val="00745B61"/>
    <w:rsid w:val="00745D35"/>
    <w:rsid w:val="007530FA"/>
    <w:rsid w:val="00762D00"/>
    <w:rsid w:val="0076381D"/>
    <w:rsid w:val="00767FEA"/>
    <w:rsid w:val="00773512"/>
    <w:rsid w:val="007802A6"/>
    <w:rsid w:val="00782B02"/>
    <w:rsid w:val="007914E6"/>
    <w:rsid w:val="007924C8"/>
    <w:rsid w:val="00797AC7"/>
    <w:rsid w:val="007A0718"/>
    <w:rsid w:val="007A31FF"/>
    <w:rsid w:val="007B66B1"/>
    <w:rsid w:val="007C22CC"/>
    <w:rsid w:val="007C62C6"/>
    <w:rsid w:val="007D0753"/>
    <w:rsid w:val="007D2D23"/>
    <w:rsid w:val="007D6D6F"/>
    <w:rsid w:val="007E4FEB"/>
    <w:rsid w:val="007E5E4E"/>
    <w:rsid w:val="007F4F2D"/>
    <w:rsid w:val="00801741"/>
    <w:rsid w:val="00802EB3"/>
    <w:rsid w:val="00804927"/>
    <w:rsid w:val="00812672"/>
    <w:rsid w:val="008146FF"/>
    <w:rsid w:val="00821830"/>
    <w:rsid w:val="00826356"/>
    <w:rsid w:val="00841F17"/>
    <w:rsid w:val="008420A6"/>
    <w:rsid w:val="008511BD"/>
    <w:rsid w:val="00854874"/>
    <w:rsid w:val="00861ABC"/>
    <w:rsid w:val="00861B72"/>
    <w:rsid w:val="00862030"/>
    <w:rsid w:val="00865D86"/>
    <w:rsid w:val="0088127D"/>
    <w:rsid w:val="00882032"/>
    <w:rsid w:val="00884620"/>
    <w:rsid w:val="00885511"/>
    <w:rsid w:val="008A2814"/>
    <w:rsid w:val="008A684A"/>
    <w:rsid w:val="008B24A2"/>
    <w:rsid w:val="008B28AB"/>
    <w:rsid w:val="008B3CC8"/>
    <w:rsid w:val="008C301E"/>
    <w:rsid w:val="008C3D61"/>
    <w:rsid w:val="008C462F"/>
    <w:rsid w:val="008C5465"/>
    <w:rsid w:val="008C7B4A"/>
    <w:rsid w:val="008D026D"/>
    <w:rsid w:val="008D41E5"/>
    <w:rsid w:val="008D74FF"/>
    <w:rsid w:val="008D7704"/>
    <w:rsid w:val="008D7E6C"/>
    <w:rsid w:val="008E1721"/>
    <w:rsid w:val="008E2D16"/>
    <w:rsid w:val="008F468A"/>
    <w:rsid w:val="008F60C3"/>
    <w:rsid w:val="008F7C0F"/>
    <w:rsid w:val="009064F9"/>
    <w:rsid w:val="0090782E"/>
    <w:rsid w:val="0091200F"/>
    <w:rsid w:val="00914722"/>
    <w:rsid w:val="009173C8"/>
    <w:rsid w:val="00930DE5"/>
    <w:rsid w:val="009327B0"/>
    <w:rsid w:val="00947404"/>
    <w:rsid w:val="0095186D"/>
    <w:rsid w:val="009563BE"/>
    <w:rsid w:val="00957783"/>
    <w:rsid w:val="00957873"/>
    <w:rsid w:val="00971A2F"/>
    <w:rsid w:val="009768EB"/>
    <w:rsid w:val="00983E45"/>
    <w:rsid w:val="00991BE7"/>
    <w:rsid w:val="0099599B"/>
    <w:rsid w:val="009A1CB5"/>
    <w:rsid w:val="009A6BB3"/>
    <w:rsid w:val="009D100D"/>
    <w:rsid w:val="009D1030"/>
    <w:rsid w:val="009D7357"/>
    <w:rsid w:val="009E05E4"/>
    <w:rsid w:val="009E36B3"/>
    <w:rsid w:val="009E687D"/>
    <w:rsid w:val="009F1BE4"/>
    <w:rsid w:val="009F2D53"/>
    <w:rsid w:val="00A0030E"/>
    <w:rsid w:val="00A034B9"/>
    <w:rsid w:val="00A05503"/>
    <w:rsid w:val="00A102D2"/>
    <w:rsid w:val="00A13735"/>
    <w:rsid w:val="00A15830"/>
    <w:rsid w:val="00A15B46"/>
    <w:rsid w:val="00A25ED1"/>
    <w:rsid w:val="00A729F1"/>
    <w:rsid w:val="00A77B68"/>
    <w:rsid w:val="00A8101C"/>
    <w:rsid w:val="00AA0B8F"/>
    <w:rsid w:val="00AC1088"/>
    <w:rsid w:val="00AC2578"/>
    <w:rsid w:val="00AC332D"/>
    <w:rsid w:val="00AC4654"/>
    <w:rsid w:val="00AD2EEE"/>
    <w:rsid w:val="00AD5BAF"/>
    <w:rsid w:val="00AD79D8"/>
    <w:rsid w:val="00AD7F47"/>
    <w:rsid w:val="00AE5AA8"/>
    <w:rsid w:val="00AE672F"/>
    <w:rsid w:val="00B015B1"/>
    <w:rsid w:val="00B05760"/>
    <w:rsid w:val="00B06E87"/>
    <w:rsid w:val="00B104AE"/>
    <w:rsid w:val="00B129A6"/>
    <w:rsid w:val="00B17AF0"/>
    <w:rsid w:val="00B33852"/>
    <w:rsid w:val="00B361A0"/>
    <w:rsid w:val="00B424CD"/>
    <w:rsid w:val="00B56414"/>
    <w:rsid w:val="00B66DDF"/>
    <w:rsid w:val="00B802A8"/>
    <w:rsid w:val="00B832BD"/>
    <w:rsid w:val="00B86A8B"/>
    <w:rsid w:val="00B870B2"/>
    <w:rsid w:val="00B87BFE"/>
    <w:rsid w:val="00BA38EB"/>
    <w:rsid w:val="00BB3F57"/>
    <w:rsid w:val="00BB4EF8"/>
    <w:rsid w:val="00BB7FA8"/>
    <w:rsid w:val="00BC4BA7"/>
    <w:rsid w:val="00BC51A0"/>
    <w:rsid w:val="00BC76FA"/>
    <w:rsid w:val="00BD65D1"/>
    <w:rsid w:val="00BE3366"/>
    <w:rsid w:val="00BF20DF"/>
    <w:rsid w:val="00C001EC"/>
    <w:rsid w:val="00C07F4B"/>
    <w:rsid w:val="00C15E44"/>
    <w:rsid w:val="00C218C2"/>
    <w:rsid w:val="00C25B0F"/>
    <w:rsid w:val="00C3088F"/>
    <w:rsid w:val="00C315C5"/>
    <w:rsid w:val="00C3504D"/>
    <w:rsid w:val="00C37BA9"/>
    <w:rsid w:val="00C415F6"/>
    <w:rsid w:val="00C44D3E"/>
    <w:rsid w:val="00C45E09"/>
    <w:rsid w:val="00C502E3"/>
    <w:rsid w:val="00C509BE"/>
    <w:rsid w:val="00C53B70"/>
    <w:rsid w:val="00C60AC3"/>
    <w:rsid w:val="00C70402"/>
    <w:rsid w:val="00C70776"/>
    <w:rsid w:val="00C71A90"/>
    <w:rsid w:val="00C71C38"/>
    <w:rsid w:val="00C73411"/>
    <w:rsid w:val="00C742CE"/>
    <w:rsid w:val="00C765ED"/>
    <w:rsid w:val="00C76B23"/>
    <w:rsid w:val="00C87B3D"/>
    <w:rsid w:val="00C90F49"/>
    <w:rsid w:val="00C93205"/>
    <w:rsid w:val="00C9660C"/>
    <w:rsid w:val="00C97D0B"/>
    <w:rsid w:val="00C97DFE"/>
    <w:rsid w:val="00CA296D"/>
    <w:rsid w:val="00CB0006"/>
    <w:rsid w:val="00CB4C6B"/>
    <w:rsid w:val="00CB72A8"/>
    <w:rsid w:val="00CC22A7"/>
    <w:rsid w:val="00CC263E"/>
    <w:rsid w:val="00CC3343"/>
    <w:rsid w:val="00CC3D40"/>
    <w:rsid w:val="00CD3560"/>
    <w:rsid w:val="00CD3F8B"/>
    <w:rsid w:val="00CD685B"/>
    <w:rsid w:val="00CE42CA"/>
    <w:rsid w:val="00CE4CE9"/>
    <w:rsid w:val="00CE53C0"/>
    <w:rsid w:val="00CE6CE1"/>
    <w:rsid w:val="00CF5764"/>
    <w:rsid w:val="00D00D68"/>
    <w:rsid w:val="00D039CB"/>
    <w:rsid w:val="00D0533A"/>
    <w:rsid w:val="00D227F8"/>
    <w:rsid w:val="00D27DA0"/>
    <w:rsid w:val="00D37575"/>
    <w:rsid w:val="00D458B9"/>
    <w:rsid w:val="00D472D8"/>
    <w:rsid w:val="00D52887"/>
    <w:rsid w:val="00D5692C"/>
    <w:rsid w:val="00D613F4"/>
    <w:rsid w:val="00D61D88"/>
    <w:rsid w:val="00D63FD8"/>
    <w:rsid w:val="00D76C08"/>
    <w:rsid w:val="00D8146B"/>
    <w:rsid w:val="00D8207E"/>
    <w:rsid w:val="00D95842"/>
    <w:rsid w:val="00D96FFC"/>
    <w:rsid w:val="00DA2773"/>
    <w:rsid w:val="00DA2907"/>
    <w:rsid w:val="00DA3D0E"/>
    <w:rsid w:val="00DA4586"/>
    <w:rsid w:val="00DB0CF8"/>
    <w:rsid w:val="00DB4303"/>
    <w:rsid w:val="00DC3E5F"/>
    <w:rsid w:val="00DD1C88"/>
    <w:rsid w:val="00DD6D44"/>
    <w:rsid w:val="00DE4A58"/>
    <w:rsid w:val="00DE4D84"/>
    <w:rsid w:val="00E01F89"/>
    <w:rsid w:val="00E02DD9"/>
    <w:rsid w:val="00E072EB"/>
    <w:rsid w:val="00E11CC8"/>
    <w:rsid w:val="00E12AD9"/>
    <w:rsid w:val="00E16771"/>
    <w:rsid w:val="00E26762"/>
    <w:rsid w:val="00E27E35"/>
    <w:rsid w:val="00E32BD2"/>
    <w:rsid w:val="00E33E63"/>
    <w:rsid w:val="00E3613E"/>
    <w:rsid w:val="00E36C44"/>
    <w:rsid w:val="00E4260B"/>
    <w:rsid w:val="00E4301B"/>
    <w:rsid w:val="00E51731"/>
    <w:rsid w:val="00E55044"/>
    <w:rsid w:val="00E6039E"/>
    <w:rsid w:val="00E7423C"/>
    <w:rsid w:val="00EA56B2"/>
    <w:rsid w:val="00EB16DC"/>
    <w:rsid w:val="00EC5EFC"/>
    <w:rsid w:val="00ED0737"/>
    <w:rsid w:val="00ED684B"/>
    <w:rsid w:val="00ED6944"/>
    <w:rsid w:val="00EE1077"/>
    <w:rsid w:val="00EF70C1"/>
    <w:rsid w:val="00F03913"/>
    <w:rsid w:val="00F05308"/>
    <w:rsid w:val="00F20B76"/>
    <w:rsid w:val="00F21208"/>
    <w:rsid w:val="00F32CB6"/>
    <w:rsid w:val="00F330AF"/>
    <w:rsid w:val="00F41C7B"/>
    <w:rsid w:val="00F43AED"/>
    <w:rsid w:val="00F43B1F"/>
    <w:rsid w:val="00F51AE8"/>
    <w:rsid w:val="00F56EA9"/>
    <w:rsid w:val="00F5700D"/>
    <w:rsid w:val="00F619D0"/>
    <w:rsid w:val="00F65CBD"/>
    <w:rsid w:val="00F672F0"/>
    <w:rsid w:val="00F76F75"/>
    <w:rsid w:val="00F81E3D"/>
    <w:rsid w:val="00F86578"/>
    <w:rsid w:val="00F90838"/>
    <w:rsid w:val="00F924AC"/>
    <w:rsid w:val="00F92D09"/>
    <w:rsid w:val="00FA18C9"/>
    <w:rsid w:val="00FA4957"/>
    <w:rsid w:val="00FA7CFD"/>
    <w:rsid w:val="00FA7ECD"/>
    <w:rsid w:val="00FA7F77"/>
    <w:rsid w:val="00FB4CE2"/>
    <w:rsid w:val="00FC2E53"/>
    <w:rsid w:val="00FD0F5F"/>
    <w:rsid w:val="00FD11AE"/>
    <w:rsid w:val="00FD19A1"/>
    <w:rsid w:val="00FE1169"/>
    <w:rsid w:val="00FE37B0"/>
    <w:rsid w:val="00FE400B"/>
    <w:rsid w:val="00FE5444"/>
    <w:rsid w:val="00FE65E7"/>
    <w:rsid w:val="00FE70C0"/>
    <w:rsid w:val="00FF45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19"/>
    <w:rPr>
      <w:sz w:val="24"/>
      <w:szCs w:val="24"/>
    </w:rPr>
  </w:style>
  <w:style w:type="paragraph" w:styleId="Heading2">
    <w:name w:val="heading 2"/>
    <w:basedOn w:val="Normal"/>
    <w:next w:val="Normal"/>
    <w:link w:val="Heading2Char"/>
    <w:uiPriority w:val="9"/>
    <w:semiHidden/>
    <w:unhideWhenUsed/>
    <w:qFormat/>
    <w:rsid w:val="004753A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BD65D1"/>
    <w:pPr>
      <w:spacing w:before="100" w:beforeAutospacing="1" w:after="100" w:afterAutospacing="1"/>
      <w:outlineLvl w:val="2"/>
    </w:pPr>
    <w:rPr>
      <w:b/>
      <w:bCs/>
      <w:sz w:val="27"/>
      <w:szCs w:val="27"/>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5F14E0"/>
    <w:rPr>
      <w:rFonts w:ascii="Cambria" w:hAnsi="Cambria" w:cs="Cambria"/>
      <w:b/>
      <w:bCs/>
      <w:sz w:val="26"/>
      <w:szCs w:val="26"/>
    </w:rPr>
  </w:style>
  <w:style w:type="paragraph" w:styleId="BalloonText">
    <w:name w:val="Balloon Text"/>
    <w:basedOn w:val="Normal"/>
    <w:link w:val="BalloonTextChar"/>
    <w:semiHidden/>
    <w:rsid w:val="00E11CC8"/>
    <w:rPr>
      <w:rFonts w:ascii="Tahoma" w:hAnsi="Tahoma" w:cs="Tahoma"/>
      <w:sz w:val="16"/>
      <w:szCs w:val="16"/>
    </w:rPr>
  </w:style>
  <w:style w:type="character" w:customStyle="1" w:styleId="BalloonTextChar">
    <w:name w:val="Balloon Text Char"/>
    <w:basedOn w:val="DefaultParagraphFont"/>
    <w:link w:val="BalloonText"/>
    <w:semiHidden/>
    <w:rsid w:val="005F14E0"/>
    <w:rPr>
      <w:rFonts w:cs="Times New Roman"/>
      <w:sz w:val="2"/>
      <w:szCs w:val="2"/>
    </w:rPr>
  </w:style>
  <w:style w:type="paragraph" w:styleId="Header">
    <w:name w:val="header"/>
    <w:basedOn w:val="Normal"/>
    <w:link w:val="HeaderChar"/>
    <w:rsid w:val="00E11CC8"/>
    <w:pPr>
      <w:tabs>
        <w:tab w:val="center" w:pos="4153"/>
        <w:tab w:val="right" w:pos="8306"/>
      </w:tabs>
    </w:pPr>
  </w:style>
  <w:style w:type="character" w:customStyle="1" w:styleId="HeaderChar">
    <w:name w:val="Header Char"/>
    <w:basedOn w:val="DefaultParagraphFont"/>
    <w:link w:val="Header"/>
    <w:semiHidden/>
    <w:rsid w:val="005F14E0"/>
    <w:rPr>
      <w:rFonts w:cs="Times New Roman"/>
      <w:sz w:val="24"/>
      <w:szCs w:val="24"/>
    </w:rPr>
  </w:style>
  <w:style w:type="paragraph" w:styleId="Footer">
    <w:name w:val="footer"/>
    <w:basedOn w:val="Normal"/>
    <w:link w:val="FooterChar"/>
    <w:uiPriority w:val="99"/>
    <w:rsid w:val="00E11CC8"/>
    <w:pPr>
      <w:tabs>
        <w:tab w:val="center" w:pos="4153"/>
        <w:tab w:val="right" w:pos="8306"/>
      </w:tabs>
    </w:pPr>
  </w:style>
  <w:style w:type="character" w:customStyle="1" w:styleId="FooterChar">
    <w:name w:val="Footer Char"/>
    <w:basedOn w:val="DefaultParagraphFont"/>
    <w:link w:val="Footer"/>
    <w:uiPriority w:val="99"/>
    <w:rsid w:val="005F14E0"/>
    <w:rPr>
      <w:rFonts w:cs="Times New Roman"/>
      <w:sz w:val="24"/>
      <w:szCs w:val="24"/>
    </w:rPr>
  </w:style>
  <w:style w:type="character" w:styleId="PageNumber">
    <w:name w:val="page number"/>
    <w:basedOn w:val="DefaultParagraphFont"/>
    <w:rsid w:val="00065AB9"/>
    <w:rPr>
      <w:rFonts w:cs="Times New Roman"/>
    </w:rPr>
  </w:style>
  <w:style w:type="character" w:styleId="CommentReference">
    <w:name w:val="annotation reference"/>
    <w:basedOn w:val="DefaultParagraphFont"/>
    <w:semiHidden/>
    <w:rsid w:val="00CD685B"/>
    <w:rPr>
      <w:rFonts w:cs="Times New Roman"/>
      <w:sz w:val="16"/>
      <w:szCs w:val="16"/>
    </w:rPr>
  </w:style>
  <w:style w:type="paragraph" w:styleId="CommentText">
    <w:name w:val="annotation text"/>
    <w:basedOn w:val="Normal"/>
    <w:link w:val="CommentTextChar"/>
    <w:semiHidden/>
    <w:rsid w:val="00CD685B"/>
    <w:rPr>
      <w:sz w:val="20"/>
      <w:szCs w:val="20"/>
    </w:rPr>
  </w:style>
  <w:style w:type="character" w:customStyle="1" w:styleId="CommentTextChar">
    <w:name w:val="Comment Text Char"/>
    <w:basedOn w:val="DefaultParagraphFont"/>
    <w:link w:val="CommentText"/>
    <w:semiHidden/>
    <w:rsid w:val="005F14E0"/>
    <w:rPr>
      <w:rFonts w:cs="Times New Roman"/>
      <w:sz w:val="20"/>
      <w:szCs w:val="20"/>
    </w:rPr>
  </w:style>
  <w:style w:type="paragraph" w:styleId="CommentSubject">
    <w:name w:val="annotation subject"/>
    <w:basedOn w:val="CommentText"/>
    <w:next w:val="CommentText"/>
    <w:link w:val="CommentSubjectChar"/>
    <w:semiHidden/>
    <w:rsid w:val="00CD685B"/>
    <w:rPr>
      <w:b/>
      <w:bCs/>
    </w:rPr>
  </w:style>
  <w:style w:type="character" w:customStyle="1" w:styleId="CommentSubjectChar">
    <w:name w:val="Comment Subject Char"/>
    <w:basedOn w:val="CommentTextChar"/>
    <w:link w:val="CommentSubject"/>
    <w:semiHidden/>
    <w:rsid w:val="005F14E0"/>
    <w:rPr>
      <w:rFonts w:cs="Times New Roman"/>
      <w:b/>
      <w:bCs/>
      <w:sz w:val="20"/>
      <w:szCs w:val="20"/>
    </w:rPr>
  </w:style>
  <w:style w:type="paragraph" w:styleId="NormalWeb">
    <w:name w:val="Normal (Web)"/>
    <w:basedOn w:val="Normal"/>
    <w:rsid w:val="00C73411"/>
    <w:pPr>
      <w:spacing w:before="100" w:beforeAutospacing="1" w:after="100" w:afterAutospacing="1"/>
    </w:pPr>
    <w:rPr>
      <w:lang w:val="en-GB" w:eastAsia="en-GB"/>
    </w:rPr>
  </w:style>
  <w:style w:type="paragraph" w:styleId="ListParagraph">
    <w:name w:val="List Paragraph"/>
    <w:basedOn w:val="Normal"/>
    <w:uiPriority w:val="34"/>
    <w:qFormat/>
    <w:rsid w:val="00326980"/>
    <w:pPr>
      <w:spacing w:after="200" w:line="276" w:lineRule="auto"/>
      <w:ind w:left="720"/>
      <w:contextualSpacing/>
    </w:pPr>
    <w:rPr>
      <w:rFonts w:ascii="Calibri" w:hAnsi="Calibri" w:cs="Calibri"/>
      <w:sz w:val="22"/>
      <w:szCs w:val="22"/>
      <w:lang w:val="en-CA"/>
    </w:rPr>
  </w:style>
  <w:style w:type="paragraph" w:styleId="Date">
    <w:name w:val="Date"/>
    <w:basedOn w:val="Normal"/>
    <w:next w:val="Normal"/>
    <w:link w:val="DateChar"/>
    <w:rsid w:val="000D66E7"/>
  </w:style>
  <w:style w:type="character" w:customStyle="1" w:styleId="DateChar">
    <w:name w:val="Date Char"/>
    <w:basedOn w:val="DefaultParagraphFont"/>
    <w:link w:val="Date"/>
    <w:semiHidden/>
    <w:rsid w:val="005F14E0"/>
    <w:rPr>
      <w:rFonts w:cs="Times New Roman"/>
      <w:sz w:val="24"/>
      <w:szCs w:val="24"/>
    </w:rPr>
  </w:style>
  <w:style w:type="paragraph" w:customStyle="1" w:styleId="CarattereCarattere">
    <w:name w:val="Carattere Carattere"/>
    <w:basedOn w:val="Normal"/>
    <w:rsid w:val="00B86A8B"/>
    <w:pPr>
      <w:spacing w:after="160" w:line="240" w:lineRule="exact"/>
    </w:pPr>
    <w:rPr>
      <w:rFonts w:ascii="Tahoma" w:hAnsi="Tahoma" w:cs="Tahoma"/>
      <w:sz w:val="20"/>
      <w:szCs w:val="20"/>
    </w:rPr>
  </w:style>
  <w:style w:type="character" w:styleId="Strong">
    <w:name w:val="Strong"/>
    <w:basedOn w:val="DefaultParagraphFont"/>
    <w:qFormat/>
    <w:rsid w:val="003C235C"/>
    <w:rPr>
      <w:rFonts w:cs="Times New Roman"/>
      <w:b/>
      <w:bCs/>
    </w:rPr>
  </w:style>
  <w:style w:type="character" w:styleId="Hyperlink">
    <w:name w:val="Hyperlink"/>
    <w:basedOn w:val="DefaultParagraphFont"/>
    <w:rsid w:val="00BD65D1"/>
    <w:rPr>
      <w:rFonts w:cs="Times New Roman"/>
      <w:color w:val="0000FF"/>
      <w:u w:val="single"/>
    </w:rPr>
  </w:style>
  <w:style w:type="character" w:styleId="Emphasis">
    <w:name w:val="Emphasis"/>
    <w:basedOn w:val="DefaultParagraphFont"/>
    <w:qFormat/>
    <w:rsid w:val="00BD65D1"/>
    <w:rPr>
      <w:rFonts w:cs="Times New Roman"/>
      <w:i/>
      <w:iCs/>
    </w:rPr>
  </w:style>
  <w:style w:type="paragraph" w:styleId="BodyTextIndent">
    <w:name w:val="Body Text Indent"/>
    <w:basedOn w:val="Normal"/>
    <w:link w:val="BodyTextIndentChar"/>
    <w:rsid w:val="00802EB3"/>
    <w:pPr>
      <w:ind w:left="2880" w:hanging="2880"/>
    </w:pPr>
    <w:rPr>
      <w:b/>
      <w:lang w:val="en-GB" w:eastAsia="it-IT"/>
    </w:rPr>
  </w:style>
  <w:style w:type="character" w:customStyle="1" w:styleId="BodyTextIndentChar">
    <w:name w:val="Body Text Indent Char"/>
    <w:basedOn w:val="DefaultParagraphFont"/>
    <w:link w:val="BodyTextIndent"/>
    <w:rsid w:val="00802EB3"/>
    <w:rPr>
      <w:b/>
      <w:sz w:val="24"/>
      <w:szCs w:val="24"/>
      <w:lang w:val="en-GB" w:eastAsia="it-IT"/>
    </w:rPr>
  </w:style>
  <w:style w:type="character" w:customStyle="1" w:styleId="hps">
    <w:name w:val="hps"/>
    <w:basedOn w:val="DefaultParagraphFont"/>
    <w:rsid w:val="00802EB3"/>
  </w:style>
  <w:style w:type="paragraph" w:customStyle="1" w:styleId="CharCharCharZchnZchn">
    <w:name w:val="Char Char Char Zchn Zchn"/>
    <w:basedOn w:val="Normal"/>
    <w:rsid w:val="00B87BFE"/>
    <w:pPr>
      <w:spacing w:after="160" w:line="240" w:lineRule="exact"/>
    </w:pPr>
    <w:rPr>
      <w:rFonts w:ascii="Tahoma" w:hAnsi="Tahoma"/>
      <w:sz w:val="20"/>
      <w:szCs w:val="20"/>
    </w:rPr>
  </w:style>
  <w:style w:type="character" w:customStyle="1" w:styleId="Heading2Char">
    <w:name w:val="Heading 2 Char"/>
    <w:basedOn w:val="DefaultParagraphFont"/>
    <w:link w:val="Heading2"/>
    <w:uiPriority w:val="9"/>
    <w:semiHidden/>
    <w:rsid w:val="004753AE"/>
    <w:rPr>
      <w:rFonts w:asciiTheme="majorHAnsi" w:eastAsiaTheme="majorEastAsia" w:hAnsiTheme="majorHAnsi" w:cstheme="majorBidi"/>
      <w:b/>
      <w:bCs/>
      <w:i/>
      <w:iCs/>
      <w:sz w:val="28"/>
      <w:szCs w:val="28"/>
    </w:rPr>
  </w:style>
  <w:style w:type="paragraph" w:customStyle="1" w:styleId="Default">
    <w:name w:val="Default"/>
    <w:rsid w:val="00625744"/>
    <w:pPr>
      <w:autoSpaceDE w:val="0"/>
      <w:autoSpaceDN w:val="0"/>
      <w:adjustRightInd w:val="0"/>
    </w:pPr>
    <w:rPr>
      <w:rFonts w:ascii="Arial" w:eastAsiaTheme="minorHAnsi" w:hAnsi="Arial" w:cs="Arial"/>
      <w:color w:val="000000"/>
      <w:sz w:val="24"/>
      <w:szCs w:val="24"/>
    </w:rPr>
  </w:style>
  <w:style w:type="table" w:styleId="TableGrid">
    <w:name w:val="Table Grid"/>
    <w:basedOn w:val="TableNormal"/>
    <w:uiPriority w:val="39"/>
    <w:rsid w:val="0062574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0F19"/>
    <w:rPr>
      <w:sz w:val="24"/>
      <w:szCs w:val="24"/>
    </w:rPr>
  </w:style>
  <w:style w:type="paragraph" w:styleId="berschrift2">
    <w:name w:val="heading 2"/>
    <w:basedOn w:val="Standard"/>
    <w:next w:val="Standard"/>
    <w:link w:val="berschrift2Zchn"/>
    <w:uiPriority w:val="9"/>
    <w:semiHidden/>
    <w:unhideWhenUsed/>
    <w:qFormat/>
    <w:rsid w:val="004753AE"/>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link w:val="berschrift3Zchn"/>
    <w:qFormat/>
    <w:rsid w:val="00BD65D1"/>
    <w:pPr>
      <w:spacing w:before="100" w:beforeAutospacing="1" w:after="100" w:afterAutospacing="1"/>
      <w:outlineLvl w:val="2"/>
    </w:pPr>
    <w:rPr>
      <w:b/>
      <w:bCs/>
      <w:sz w:val="27"/>
      <w:szCs w:val="27"/>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semiHidden/>
    <w:rsid w:val="005F14E0"/>
    <w:rPr>
      <w:rFonts w:ascii="Cambria" w:hAnsi="Cambria" w:cs="Cambria"/>
      <w:b/>
      <w:bCs/>
      <w:sz w:val="26"/>
      <w:szCs w:val="26"/>
    </w:rPr>
  </w:style>
  <w:style w:type="paragraph" w:styleId="Sprechblasentext">
    <w:name w:val="Balloon Text"/>
    <w:basedOn w:val="Standard"/>
    <w:link w:val="SprechblasentextZchn"/>
    <w:semiHidden/>
    <w:rsid w:val="00E11CC8"/>
    <w:rPr>
      <w:rFonts w:ascii="Tahoma" w:hAnsi="Tahoma" w:cs="Tahoma"/>
      <w:sz w:val="16"/>
      <w:szCs w:val="16"/>
    </w:rPr>
  </w:style>
  <w:style w:type="character" w:customStyle="1" w:styleId="SprechblasentextZchn">
    <w:name w:val="Sprechblasentext Zchn"/>
    <w:basedOn w:val="Absatz-Standardschriftart"/>
    <w:link w:val="Sprechblasentext"/>
    <w:semiHidden/>
    <w:rsid w:val="005F14E0"/>
    <w:rPr>
      <w:rFonts w:cs="Times New Roman"/>
      <w:sz w:val="2"/>
      <w:szCs w:val="2"/>
    </w:rPr>
  </w:style>
  <w:style w:type="paragraph" w:styleId="Kopfzeile">
    <w:name w:val="header"/>
    <w:basedOn w:val="Standard"/>
    <w:link w:val="KopfzeileZchn"/>
    <w:rsid w:val="00E11CC8"/>
    <w:pPr>
      <w:tabs>
        <w:tab w:val="center" w:pos="4153"/>
        <w:tab w:val="right" w:pos="8306"/>
      </w:tabs>
    </w:pPr>
  </w:style>
  <w:style w:type="character" w:customStyle="1" w:styleId="KopfzeileZchn">
    <w:name w:val="Kopfzeile Zchn"/>
    <w:basedOn w:val="Absatz-Standardschriftart"/>
    <w:link w:val="Kopfzeile"/>
    <w:semiHidden/>
    <w:rsid w:val="005F14E0"/>
    <w:rPr>
      <w:rFonts w:cs="Times New Roman"/>
      <w:sz w:val="24"/>
      <w:szCs w:val="24"/>
    </w:rPr>
  </w:style>
  <w:style w:type="paragraph" w:styleId="Fuzeile">
    <w:name w:val="footer"/>
    <w:basedOn w:val="Standard"/>
    <w:link w:val="FuzeileZchn"/>
    <w:uiPriority w:val="99"/>
    <w:rsid w:val="00E11CC8"/>
    <w:pPr>
      <w:tabs>
        <w:tab w:val="center" w:pos="4153"/>
        <w:tab w:val="right" w:pos="8306"/>
      </w:tabs>
    </w:pPr>
  </w:style>
  <w:style w:type="character" w:customStyle="1" w:styleId="FuzeileZchn">
    <w:name w:val="Fußzeile Zchn"/>
    <w:basedOn w:val="Absatz-Standardschriftart"/>
    <w:link w:val="Fuzeile"/>
    <w:uiPriority w:val="99"/>
    <w:rsid w:val="005F14E0"/>
    <w:rPr>
      <w:rFonts w:cs="Times New Roman"/>
      <w:sz w:val="24"/>
      <w:szCs w:val="24"/>
    </w:rPr>
  </w:style>
  <w:style w:type="character" w:styleId="Seitenzahl">
    <w:name w:val="page number"/>
    <w:basedOn w:val="Absatz-Standardschriftart"/>
    <w:rsid w:val="00065AB9"/>
    <w:rPr>
      <w:rFonts w:cs="Times New Roman"/>
    </w:rPr>
  </w:style>
  <w:style w:type="character" w:styleId="Kommentarzeichen">
    <w:name w:val="annotation reference"/>
    <w:basedOn w:val="Absatz-Standardschriftart"/>
    <w:semiHidden/>
    <w:rsid w:val="00CD685B"/>
    <w:rPr>
      <w:rFonts w:cs="Times New Roman"/>
      <w:sz w:val="16"/>
      <w:szCs w:val="16"/>
    </w:rPr>
  </w:style>
  <w:style w:type="paragraph" w:styleId="Kommentartext">
    <w:name w:val="annotation text"/>
    <w:basedOn w:val="Standard"/>
    <w:link w:val="KommentartextZchn"/>
    <w:semiHidden/>
    <w:rsid w:val="00CD685B"/>
    <w:rPr>
      <w:sz w:val="20"/>
      <w:szCs w:val="20"/>
    </w:rPr>
  </w:style>
  <w:style w:type="character" w:customStyle="1" w:styleId="KommentartextZchn">
    <w:name w:val="Kommentartext Zchn"/>
    <w:basedOn w:val="Absatz-Standardschriftart"/>
    <w:link w:val="Kommentartext"/>
    <w:semiHidden/>
    <w:rsid w:val="005F14E0"/>
    <w:rPr>
      <w:rFonts w:cs="Times New Roman"/>
      <w:sz w:val="20"/>
      <w:szCs w:val="20"/>
    </w:rPr>
  </w:style>
  <w:style w:type="paragraph" w:styleId="Kommentarthema">
    <w:name w:val="annotation subject"/>
    <w:basedOn w:val="Kommentartext"/>
    <w:next w:val="Kommentartext"/>
    <w:link w:val="KommentarthemaZchn"/>
    <w:semiHidden/>
    <w:rsid w:val="00CD685B"/>
    <w:rPr>
      <w:b/>
      <w:bCs/>
    </w:rPr>
  </w:style>
  <w:style w:type="character" w:customStyle="1" w:styleId="KommentarthemaZchn">
    <w:name w:val="Kommentarthema Zchn"/>
    <w:basedOn w:val="KommentartextZchn"/>
    <w:link w:val="Kommentarthema"/>
    <w:semiHidden/>
    <w:rsid w:val="005F14E0"/>
    <w:rPr>
      <w:rFonts w:cs="Times New Roman"/>
      <w:b/>
      <w:bCs/>
      <w:sz w:val="20"/>
      <w:szCs w:val="20"/>
    </w:rPr>
  </w:style>
  <w:style w:type="paragraph" w:styleId="StandardWeb">
    <w:name w:val="Normal (Web)"/>
    <w:basedOn w:val="Standard"/>
    <w:rsid w:val="00C73411"/>
    <w:pPr>
      <w:spacing w:before="100" w:beforeAutospacing="1" w:after="100" w:afterAutospacing="1"/>
    </w:pPr>
    <w:rPr>
      <w:lang w:val="en-GB" w:eastAsia="en-GB"/>
    </w:rPr>
  </w:style>
  <w:style w:type="paragraph" w:styleId="Listenabsatz">
    <w:name w:val="List Paragraph"/>
    <w:basedOn w:val="Standard"/>
    <w:uiPriority w:val="34"/>
    <w:qFormat/>
    <w:rsid w:val="00326980"/>
    <w:pPr>
      <w:spacing w:after="200" w:line="276" w:lineRule="auto"/>
      <w:ind w:left="720"/>
      <w:contextualSpacing/>
    </w:pPr>
    <w:rPr>
      <w:rFonts w:ascii="Calibri" w:hAnsi="Calibri" w:cs="Calibri"/>
      <w:sz w:val="22"/>
      <w:szCs w:val="22"/>
      <w:lang w:val="en-CA"/>
    </w:rPr>
  </w:style>
  <w:style w:type="paragraph" w:styleId="Datum">
    <w:name w:val="Date"/>
    <w:basedOn w:val="Standard"/>
    <w:next w:val="Standard"/>
    <w:link w:val="DatumZchn"/>
    <w:rsid w:val="000D66E7"/>
  </w:style>
  <w:style w:type="character" w:customStyle="1" w:styleId="DatumZchn">
    <w:name w:val="Datum Zchn"/>
    <w:basedOn w:val="Absatz-Standardschriftart"/>
    <w:link w:val="Datum"/>
    <w:semiHidden/>
    <w:rsid w:val="005F14E0"/>
    <w:rPr>
      <w:rFonts w:cs="Times New Roman"/>
      <w:sz w:val="24"/>
      <w:szCs w:val="24"/>
    </w:rPr>
  </w:style>
  <w:style w:type="paragraph" w:customStyle="1" w:styleId="CarattereCarattere">
    <w:name w:val="Carattere Carattere"/>
    <w:basedOn w:val="Standard"/>
    <w:rsid w:val="00B86A8B"/>
    <w:pPr>
      <w:spacing w:after="160" w:line="240" w:lineRule="exact"/>
    </w:pPr>
    <w:rPr>
      <w:rFonts w:ascii="Tahoma" w:hAnsi="Tahoma" w:cs="Tahoma"/>
      <w:sz w:val="20"/>
      <w:szCs w:val="20"/>
    </w:rPr>
  </w:style>
  <w:style w:type="character" w:styleId="Fett">
    <w:name w:val="Strong"/>
    <w:basedOn w:val="Absatz-Standardschriftart"/>
    <w:qFormat/>
    <w:rsid w:val="003C235C"/>
    <w:rPr>
      <w:rFonts w:cs="Times New Roman"/>
      <w:b/>
      <w:bCs/>
    </w:rPr>
  </w:style>
  <w:style w:type="character" w:styleId="Hyperlink">
    <w:name w:val="Hyperlink"/>
    <w:basedOn w:val="Absatz-Standardschriftart"/>
    <w:rsid w:val="00BD65D1"/>
    <w:rPr>
      <w:rFonts w:cs="Times New Roman"/>
      <w:color w:val="0000FF"/>
      <w:u w:val="single"/>
    </w:rPr>
  </w:style>
  <w:style w:type="character" w:styleId="Hervorhebung">
    <w:name w:val="Emphasis"/>
    <w:basedOn w:val="Absatz-Standardschriftart"/>
    <w:qFormat/>
    <w:rsid w:val="00BD65D1"/>
    <w:rPr>
      <w:rFonts w:cs="Times New Roman"/>
      <w:i/>
      <w:iCs/>
    </w:rPr>
  </w:style>
  <w:style w:type="paragraph" w:styleId="Textkrper-Zeileneinzug">
    <w:name w:val="Body Text Indent"/>
    <w:basedOn w:val="Standard"/>
    <w:link w:val="Textkrper-ZeileneinzugZchn"/>
    <w:rsid w:val="00802EB3"/>
    <w:pPr>
      <w:ind w:left="2880" w:hanging="2880"/>
    </w:pPr>
    <w:rPr>
      <w:b/>
      <w:lang w:val="en-GB" w:eastAsia="it-IT"/>
    </w:rPr>
  </w:style>
  <w:style w:type="character" w:customStyle="1" w:styleId="Textkrper-ZeileneinzugZchn">
    <w:name w:val="Textkörper-Zeileneinzug Zchn"/>
    <w:basedOn w:val="Absatz-Standardschriftart"/>
    <w:link w:val="Textkrper-Zeileneinzug"/>
    <w:rsid w:val="00802EB3"/>
    <w:rPr>
      <w:b/>
      <w:sz w:val="24"/>
      <w:szCs w:val="24"/>
      <w:lang w:val="en-GB" w:eastAsia="it-IT"/>
    </w:rPr>
  </w:style>
  <w:style w:type="character" w:customStyle="1" w:styleId="hps">
    <w:name w:val="hps"/>
    <w:basedOn w:val="Absatz-Standardschriftart"/>
    <w:rsid w:val="00802EB3"/>
  </w:style>
  <w:style w:type="paragraph" w:customStyle="1" w:styleId="CharCharCharZchnZchn">
    <w:name w:val="Char Char Char Zchn Zchn"/>
    <w:basedOn w:val="Standard"/>
    <w:rsid w:val="00B87BFE"/>
    <w:pPr>
      <w:spacing w:after="160" w:line="240" w:lineRule="exact"/>
    </w:pPr>
    <w:rPr>
      <w:rFonts w:ascii="Tahoma" w:hAnsi="Tahoma"/>
      <w:sz w:val="20"/>
      <w:szCs w:val="20"/>
    </w:rPr>
  </w:style>
  <w:style w:type="character" w:customStyle="1" w:styleId="berschrift2Zchn">
    <w:name w:val="Überschrift 2 Zchn"/>
    <w:basedOn w:val="Absatz-Standardschriftart"/>
    <w:link w:val="berschrift2"/>
    <w:uiPriority w:val="9"/>
    <w:semiHidden/>
    <w:rsid w:val="004753AE"/>
    <w:rPr>
      <w:rFonts w:asciiTheme="majorHAnsi" w:eastAsiaTheme="majorEastAsia" w:hAnsiTheme="majorHAnsi" w:cstheme="majorBidi"/>
      <w:b/>
      <w:bCs/>
      <w:i/>
      <w:iCs/>
      <w:sz w:val="28"/>
      <w:szCs w:val="28"/>
    </w:rPr>
  </w:style>
  <w:style w:type="paragraph" w:customStyle="1" w:styleId="Default">
    <w:name w:val="Default"/>
    <w:rsid w:val="00625744"/>
    <w:pPr>
      <w:autoSpaceDE w:val="0"/>
      <w:autoSpaceDN w:val="0"/>
      <w:adjustRightInd w:val="0"/>
    </w:pPr>
    <w:rPr>
      <w:rFonts w:ascii="Arial" w:eastAsiaTheme="minorHAnsi" w:hAnsi="Arial" w:cs="Arial"/>
      <w:color w:val="000000"/>
      <w:sz w:val="24"/>
      <w:szCs w:val="24"/>
    </w:rPr>
  </w:style>
  <w:style w:type="table" w:styleId="Tabellenraster">
    <w:name w:val="Table Grid"/>
    <w:basedOn w:val="NormaleTabelle"/>
    <w:uiPriority w:val="39"/>
    <w:rsid w:val="0062574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131977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1914</Words>
  <Characters>10148</Characters>
  <Application>Microsoft Office Word</Application>
  <DocSecurity>0</DocSecurity>
  <Lines>84</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GBEP GHG Taskforce Meeting, 26 September 2008</vt:lpstr>
      <vt:lpstr>GBEP GHG Taskforce Meeting, 26 September 2008</vt:lpstr>
    </vt:vector>
  </TitlesOfParts>
  <Company>NASA GSFC</Company>
  <LinksUpToDate>false</LinksUpToDate>
  <CharactersWithSpaces>12038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GBEP GHG Taskforce Meeting, 26 September 2008</dc:title>
  <dc:creator>bzaitchik</dc:creator>
  <cp:lastModifiedBy>Michela Morese (NRC)</cp:lastModifiedBy>
  <cp:revision>2</cp:revision>
  <cp:lastPrinted>2014-07-18T08:43:00Z</cp:lastPrinted>
  <dcterms:created xsi:type="dcterms:W3CDTF">2014-07-18T08:44:00Z</dcterms:created>
  <dcterms:modified xsi:type="dcterms:W3CDTF">2014-07-18T08:44:00Z</dcterms:modified>
</cp:coreProperties>
</file>