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D1F3E" w14:textId="77777777" w:rsidR="00F94952" w:rsidRDefault="00F94952" w:rsidP="00F94952">
      <w:pPr>
        <w:spacing w:after="60"/>
        <w:jc w:val="center"/>
        <w:rPr>
          <w:rFonts w:ascii="Arial" w:hAnsi="Arial"/>
          <w:b/>
          <w:sz w:val="32"/>
          <w:szCs w:val="32"/>
        </w:rPr>
      </w:pPr>
      <w:r w:rsidRPr="00F94952">
        <w:rPr>
          <w:rFonts w:ascii="Arial" w:hAnsi="Arial"/>
          <w:b/>
          <w:sz w:val="32"/>
          <w:szCs w:val="32"/>
        </w:rPr>
        <w:t>Requirements</w:t>
      </w:r>
      <w:r>
        <w:rPr>
          <w:rFonts w:ascii="Arial" w:hAnsi="Arial"/>
          <w:b/>
          <w:sz w:val="32"/>
          <w:szCs w:val="32"/>
        </w:rPr>
        <w:t xml:space="preserve"> of</w:t>
      </w:r>
    </w:p>
    <w:p w14:paraId="67B46B8E" w14:textId="77777777" w:rsidR="00F94952" w:rsidRPr="00F94952" w:rsidRDefault="00F94952" w:rsidP="00F94952">
      <w:pPr>
        <w:spacing w:after="60"/>
        <w:jc w:val="center"/>
        <w:rPr>
          <w:rFonts w:ascii="Arial" w:hAnsi="Arial"/>
          <w:b/>
          <w:sz w:val="32"/>
          <w:szCs w:val="32"/>
        </w:rPr>
      </w:pPr>
      <w:r w:rsidRPr="00F94952">
        <w:rPr>
          <w:rFonts w:ascii="Arial" w:hAnsi="Arial"/>
          <w:b/>
          <w:sz w:val="32"/>
          <w:szCs w:val="32"/>
        </w:rPr>
        <w:t>Permanent Unique Identifiers</w:t>
      </w:r>
      <w:r>
        <w:rPr>
          <w:rFonts w:ascii="Arial" w:hAnsi="Arial"/>
          <w:b/>
          <w:sz w:val="32"/>
          <w:szCs w:val="32"/>
        </w:rPr>
        <w:t xml:space="preserve"> (PUIDs)</w:t>
      </w:r>
    </w:p>
    <w:p w14:paraId="0F8F2538" w14:textId="77777777" w:rsidR="00C6381B" w:rsidRDefault="00F94952" w:rsidP="00F94952">
      <w:pPr>
        <w:spacing w:after="60"/>
        <w:jc w:val="center"/>
        <w:rPr>
          <w:rFonts w:ascii="Arial" w:hAnsi="Arial"/>
          <w:b/>
          <w:sz w:val="32"/>
          <w:szCs w:val="32"/>
        </w:rPr>
      </w:pPr>
      <w:r>
        <w:rPr>
          <w:rFonts w:ascii="Arial" w:hAnsi="Arial"/>
          <w:b/>
          <w:sz w:val="32"/>
          <w:szCs w:val="32"/>
        </w:rPr>
        <w:t>in the context of the G</w:t>
      </w:r>
      <w:r w:rsidRPr="00F94952">
        <w:rPr>
          <w:rFonts w:ascii="Arial" w:hAnsi="Arial"/>
          <w:b/>
          <w:sz w:val="32"/>
          <w:szCs w:val="32"/>
        </w:rPr>
        <w:t>lobal Information System</w:t>
      </w:r>
      <w:r>
        <w:rPr>
          <w:rFonts w:ascii="Arial" w:hAnsi="Arial"/>
          <w:b/>
          <w:sz w:val="32"/>
          <w:szCs w:val="32"/>
        </w:rPr>
        <w:t xml:space="preserve"> (GLIS)</w:t>
      </w:r>
    </w:p>
    <w:p w14:paraId="019387C6" w14:textId="77777777" w:rsidR="00F94952" w:rsidRPr="00F94952" w:rsidRDefault="00F94952" w:rsidP="00F94952">
      <w:pPr>
        <w:spacing w:after="60"/>
        <w:rPr>
          <w:rFonts w:ascii="Arial" w:hAnsi="Arial"/>
          <w:b/>
        </w:rPr>
      </w:pPr>
    </w:p>
    <w:tbl>
      <w:tblPr>
        <w:tblStyle w:val="TableGrid"/>
        <w:tblW w:w="0" w:type="auto"/>
        <w:tblLayout w:type="fixed"/>
        <w:tblLook w:val="04A0" w:firstRow="1" w:lastRow="0" w:firstColumn="1" w:lastColumn="0" w:noHBand="0" w:noVBand="1"/>
      </w:tblPr>
      <w:tblGrid>
        <w:gridCol w:w="417"/>
        <w:gridCol w:w="1534"/>
        <w:gridCol w:w="8463"/>
      </w:tblGrid>
      <w:tr w:rsidR="00F94952" w:rsidRPr="00F94952" w14:paraId="1E00F521" w14:textId="77777777" w:rsidTr="007949B0">
        <w:tc>
          <w:tcPr>
            <w:tcW w:w="417" w:type="dxa"/>
          </w:tcPr>
          <w:p w14:paraId="13CC73C6" w14:textId="77777777" w:rsidR="00F94952" w:rsidRPr="00F94952" w:rsidRDefault="00F94952" w:rsidP="00F94952">
            <w:pPr>
              <w:spacing w:before="40" w:after="40"/>
              <w:rPr>
                <w:rFonts w:ascii="Arial" w:hAnsi="Arial"/>
                <w:b/>
                <w:sz w:val="20"/>
                <w:szCs w:val="20"/>
              </w:rPr>
            </w:pPr>
            <w:r w:rsidRPr="00F94952">
              <w:rPr>
                <w:rFonts w:ascii="Arial" w:hAnsi="Arial"/>
                <w:b/>
                <w:sz w:val="20"/>
                <w:szCs w:val="20"/>
              </w:rPr>
              <w:t>#</w:t>
            </w:r>
          </w:p>
        </w:tc>
        <w:tc>
          <w:tcPr>
            <w:tcW w:w="1534" w:type="dxa"/>
          </w:tcPr>
          <w:p w14:paraId="2582394A" w14:textId="77777777" w:rsidR="00F94952" w:rsidRPr="00F94952" w:rsidRDefault="00F94952" w:rsidP="00F94952">
            <w:pPr>
              <w:spacing w:before="40" w:after="40"/>
              <w:rPr>
                <w:rFonts w:ascii="Arial" w:hAnsi="Arial"/>
                <w:b/>
                <w:sz w:val="20"/>
                <w:szCs w:val="20"/>
              </w:rPr>
            </w:pPr>
            <w:r w:rsidRPr="00F94952">
              <w:rPr>
                <w:rFonts w:ascii="Arial" w:hAnsi="Arial"/>
                <w:b/>
                <w:sz w:val="20"/>
                <w:szCs w:val="20"/>
              </w:rPr>
              <w:t>Requirement</w:t>
            </w:r>
          </w:p>
        </w:tc>
        <w:tc>
          <w:tcPr>
            <w:tcW w:w="8463" w:type="dxa"/>
          </w:tcPr>
          <w:p w14:paraId="0FDCA05E" w14:textId="77777777" w:rsidR="00F94952" w:rsidRPr="00F94952" w:rsidRDefault="00F94952" w:rsidP="00F94952">
            <w:pPr>
              <w:spacing w:before="40" w:after="40"/>
              <w:rPr>
                <w:rFonts w:ascii="Arial" w:hAnsi="Arial"/>
                <w:b/>
                <w:sz w:val="20"/>
                <w:szCs w:val="20"/>
              </w:rPr>
            </w:pPr>
            <w:r w:rsidRPr="00F94952">
              <w:rPr>
                <w:rFonts w:ascii="Arial" w:hAnsi="Arial"/>
                <w:b/>
                <w:sz w:val="20"/>
                <w:szCs w:val="20"/>
              </w:rPr>
              <w:t>Description</w:t>
            </w:r>
          </w:p>
        </w:tc>
      </w:tr>
      <w:tr w:rsidR="00F94952" w:rsidRPr="00F94952" w14:paraId="7A838D76" w14:textId="77777777" w:rsidTr="007949B0">
        <w:tc>
          <w:tcPr>
            <w:tcW w:w="417" w:type="dxa"/>
          </w:tcPr>
          <w:p w14:paraId="25C8ACF2"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1</w:t>
            </w:r>
          </w:p>
        </w:tc>
        <w:tc>
          <w:tcPr>
            <w:tcW w:w="1534" w:type="dxa"/>
          </w:tcPr>
          <w:p w14:paraId="1E9F99B8"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Uniqueness</w:t>
            </w:r>
          </w:p>
        </w:tc>
        <w:tc>
          <w:tcPr>
            <w:tcW w:w="8463" w:type="dxa"/>
          </w:tcPr>
          <w:p w14:paraId="6BD8E2D9"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Each PUID shall be associated to one and only one entity</w:t>
            </w:r>
          </w:p>
        </w:tc>
      </w:tr>
      <w:tr w:rsidR="00F94952" w:rsidRPr="00F94952" w14:paraId="79495E35" w14:textId="77777777" w:rsidTr="007949B0">
        <w:tc>
          <w:tcPr>
            <w:tcW w:w="417" w:type="dxa"/>
          </w:tcPr>
          <w:p w14:paraId="23D6DC62"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2</w:t>
            </w:r>
          </w:p>
        </w:tc>
        <w:tc>
          <w:tcPr>
            <w:tcW w:w="1534" w:type="dxa"/>
          </w:tcPr>
          <w:p w14:paraId="04D16077"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Permanence</w:t>
            </w:r>
          </w:p>
        </w:tc>
        <w:tc>
          <w:tcPr>
            <w:tcW w:w="8463" w:type="dxa"/>
          </w:tcPr>
          <w:p w14:paraId="6F6E65EE"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 xml:space="preserve">The association between the PUID and the entity shall be </w:t>
            </w:r>
            <w:r w:rsidR="000634EF">
              <w:rPr>
                <w:rFonts w:ascii="Arial" w:hAnsi="Arial"/>
                <w:sz w:val="18"/>
                <w:szCs w:val="18"/>
              </w:rPr>
              <w:t xml:space="preserve">maintained </w:t>
            </w:r>
            <w:r>
              <w:rPr>
                <w:rFonts w:ascii="Arial" w:hAnsi="Arial"/>
                <w:sz w:val="18"/>
                <w:szCs w:val="18"/>
              </w:rPr>
              <w:t>without any time limit</w:t>
            </w:r>
          </w:p>
        </w:tc>
      </w:tr>
      <w:tr w:rsidR="00F94952" w:rsidRPr="00F94952" w14:paraId="3648DF21" w14:textId="77777777" w:rsidTr="007949B0">
        <w:tc>
          <w:tcPr>
            <w:tcW w:w="417" w:type="dxa"/>
          </w:tcPr>
          <w:p w14:paraId="0EB0161C"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3</w:t>
            </w:r>
          </w:p>
        </w:tc>
        <w:tc>
          <w:tcPr>
            <w:tcW w:w="1534" w:type="dxa"/>
          </w:tcPr>
          <w:p w14:paraId="144CF795" w14:textId="77777777" w:rsidR="00F94952" w:rsidRPr="00F94952" w:rsidRDefault="00F94952" w:rsidP="00F94952">
            <w:pPr>
              <w:spacing w:before="40" w:after="40"/>
              <w:rPr>
                <w:rFonts w:ascii="Arial" w:hAnsi="Arial"/>
                <w:sz w:val="18"/>
                <w:szCs w:val="18"/>
              </w:rPr>
            </w:pPr>
            <w:commentRangeStart w:id="0"/>
            <w:r w:rsidRPr="00F94952">
              <w:rPr>
                <w:rFonts w:ascii="Arial" w:hAnsi="Arial"/>
                <w:sz w:val="18"/>
                <w:szCs w:val="18"/>
              </w:rPr>
              <w:t>Opacity</w:t>
            </w:r>
          </w:p>
        </w:tc>
        <w:tc>
          <w:tcPr>
            <w:tcW w:w="8463" w:type="dxa"/>
          </w:tcPr>
          <w:p w14:paraId="67C2C693" w14:textId="77777777" w:rsidR="00F94952" w:rsidRPr="00F94952" w:rsidRDefault="00F94952" w:rsidP="000634EF">
            <w:pPr>
              <w:spacing w:before="40" w:after="40"/>
              <w:rPr>
                <w:rFonts w:ascii="Arial" w:hAnsi="Arial"/>
                <w:sz w:val="18"/>
                <w:szCs w:val="18"/>
              </w:rPr>
            </w:pPr>
            <w:r w:rsidRPr="00F94952">
              <w:rPr>
                <w:rFonts w:ascii="Arial" w:hAnsi="Arial"/>
                <w:sz w:val="18"/>
                <w:szCs w:val="18"/>
              </w:rPr>
              <w:t xml:space="preserve">No information on the entity </w:t>
            </w:r>
            <w:r w:rsidR="000634EF">
              <w:rPr>
                <w:rFonts w:ascii="Arial" w:hAnsi="Arial"/>
                <w:sz w:val="18"/>
                <w:szCs w:val="18"/>
              </w:rPr>
              <w:t>should</w:t>
            </w:r>
            <w:r w:rsidRPr="00F94952">
              <w:rPr>
                <w:rFonts w:ascii="Arial" w:hAnsi="Arial"/>
                <w:sz w:val="18"/>
                <w:szCs w:val="18"/>
              </w:rPr>
              <w:t xml:space="preserve"> be inferrable from the PUID alone</w:t>
            </w:r>
            <w:commentRangeEnd w:id="0"/>
            <w:r w:rsidR="00AC723D">
              <w:rPr>
                <w:rStyle w:val="CommentReference"/>
              </w:rPr>
              <w:commentReference w:id="0"/>
            </w:r>
          </w:p>
        </w:tc>
      </w:tr>
      <w:tr w:rsidR="00F94952" w:rsidRPr="00F94952" w14:paraId="1119CC8C" w14:textId="77777777" w:rsidTr="007949B0">
        <w:tc>
          <w:tcPr>
            <w:tcW w:w="417" w:type="dxa"/>
          </w:tcPr>
          <w:p w14:paraId="24A4B3C8"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4</w:t>
            </w:r>
          </w:p>
        </w:tc>
        <w:tc>
          <w:tcPr>
            <w:tcW w:w="1534" w:type="dxa"/>
          </w:tcPr>
          <w:p w14:paraId="5D91BB5F"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Resolvability</w:t>
            </w:r>
          </w:p>
        </w:tc>
        <w:tc>
          <w:tcPr>
            <w:tcW w:w="8463" w:type="dxa"/>
          </w:tcPr>
          <w:p w14:paraId="3ACE22CC" w14:textId="77777777" w:rsidR="00F94952" w:rsidRPr="00F94952" w:rsidRDefault="00F94952" w:rsidP="000634EF">
            <w:pPr>
              <w:spacing w:before="40" w:after="40"/>
              <w:rPr>
                <w:rFonts w:ascii="Arial" w:hAnsi="Arial"/>
                <w:sz w:val="18"/>
                <w:szCs w:val="18"/>
              </w:rPr>
            </w:pPr>
            <w:r w:rsidRPr="00F94952">
              <w:rPr>
                <w:rFonts w:ascii="Arial" w:hAnsi="Arial"/>
                <w:sz w:val="18"/>
                <w:szCs w:val="18"/>
              </w:rPr>
              <w:t>Given the PUID, a web page exist</w:t>
            </w:r>
            <w:r w:rsidR="000634EF">
              <w:rPr>
                <w:rFonts w:ascii="Arial" w:hAnsi="Arial"/>
                <w:sz w:val="18"/>
                <w:szCs w:val="18"/>
              </w:rPr>
              <w:t>s</w:t>
            </w:r>
            <w:r w:rsidRPr="00F94952">
              <w:rPr>
                <w:rFonts w:ascii="Arial" w:hAnsi="Arial"/>
                <w:sz w:val="18"/>
                <w:szCs w:val="18"/>
              </w:rPr>
              <w:t xml:space="preserve"> where it can be entered to obtain a description of the associated entity</w:t>
            </w:r>
          </w:p>
        </w:tc>
      </w:tr>
      <w:tr w:rsidR="00F94952" w:rsidRPr="00F94952" w14:paraId="3C2DB78F" w14:textId="77777777" w:rsidTr="007949B0">
        <w:tc>
          <w:tcPr>
            <w:tcW w:w="417" w:type="dxa"/>
          </w:tcPr>
          <w:p w14:paraId="25C8C192"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5</w:t>
            </w:r>
          </w:p>
        </w:tc>
        <w:tc>
          <w:tcPr>
            <w:tcW w:w="1534" w:type="dxa"/>
          </w:tcPr>
          <w:p w14:paraId="21B6C60C"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Discoverability</w:t>
            </w:r>
          </w:p>
        </w:tc>
        <w:tc>
          <w:tcPr>
            <w:tcW w:w="8463" w:type="dxa"/>
          </w:tcPr>
          <w:p w14:paraId="7BD88330" w14:textId="77777777" w:rsidR="00F94952" w:rsidRPr="00F94952" w:rsidRDefault="00F94952" w:rsidP="000634EF">
            <w:pPr>
              <w:spacing w:before="40" w:after="40"/>
              <w:rPr>
                <w:rFonts w:ascii="Arial" w:hAnsi="Arial"/>
                <w:sz w:val="18"/>
                <w:szCs w:val="18"/>
              </w:rPr>
            </w:pPr>
            <w:r w:rsidRPr="00F94952">
              <w:rPr>
                <w:rFonts w:ascii="Arial" w:hAnsi="Arial"/>
                <w:sz w:val="18"/>
                <w:szCs w:val="18"/>
              </w:rPr>
              <w:t>Given one or more attributes of the entity, a web page exist</w:t>
            </w:r>
            <w:r w:rsidR="000634EF">
              <w:rPr>
                <w:rFonts w:ascii="Arial" w:hAnsi="Arial"/>
                <w:sz w:val="18"/>
                <w:szCs w:val="18"/>
              </w:rPr>
              <w:t>s</w:t>
            </w:r>
            <w:r w:rsidRPr="00F94952">
              <w:rPr>
                <w:rFonts w:ascii="Arial" w:hAnsi="Arial"/>
                <w:sz w:val="18"/>
                <w:szCs w:val="18"/>
              </w:rPr>
              <w:t xml:space="preserve"> where those attributes can be entered to obtain the list of entities matching those attributes along with the associated PUIDs</w:t>
            </w:r>
          </w:p>
        </w:tc>
      </w:tr>
      <w:tr w:rsidR="00F94952" w:rsidRPr="00F94952" w14:paraId="0FFB98AA" w14:textId="77777777" w:rsidTr="007949B0">
        <w:tc>
          <w:tcPr>
            <w:tcW w:w="417" w:type="dxa"/>
          </w:tcPr>
          <w:p w14:paraId="40E7AAD0"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6</w:t>
            </w:r>
          </w:p>
        </w:tc>
        <w:tc>
          <w:tcPr>
            <w:tcW w:w="1534" w:type="dxa"/>
          </w:tcPr>
          <w:p w14:paraId="1290BA71"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Security</w:t>
            </w:r>
          </w:p>
        </w:tc>
        <w:tc>
          <w:tcPr>
            <w:tcW w:w="8463" w:type="dxa"/>
          </w:tcPr>
          <w:p w14:paraId="554D4276"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Access to PUID management functions (e.g. editing of associated metadata) shall be allowed only to authorized users</w:t>
            </w:r>
          </w:p>
        </w:tc>
      </w:tr>
      <w:tr w:rsidR="00F94952" w:rsidRPr="00F94952" w14:paraId="1D775696" w14:textId="77777777" w:rsidTr="007949B0">
        <w:tc>
          <w:tcPr>
            <w:tcW w:w="417" w:type="dxa"/>
          </w:tcPr>
          <w:p w14:paraId="421C6589"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7</w:t>
            </w:r>
          </w:p>
        </w:tc>
        <w:tc>
          <w:tcPr>
            <w:tcW w:w="1534" w:type="dxa"/>
          </w:tcPr>
          <w:p w14:paraId="566FFFF3"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Scalability</w:t>
            </w:r>
          </w:p>
        </w:tc>
        <w:tc>
          <w:tcPr>
            <w:tcW w:w="8463" w:type="dxa"/>
          </w:tcPr>
          <w:p w14:paraId="21BAFC8C"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The adopted PUID type shall be designed to handle very large number of identifiers (hundreds of millions)</w:t>
            </w:r>
          </w:p>
        </w:tc>
      </w:tr>
      <w:tr w:rsidR="00F94952" w:rsidRPr="00F94952" w14:paraId="6FC0B304" w14:textId="77777777" w:rsidTr="007949B0">
        <w:tc>
          <w:tcPr>
            <w:tcW w:w="417" w:type="dxa"/>
          </w:tcPr>
          <w:p w14:paraId="06417629"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8</w:t>
            </w:r>
          </w:p>
        </w:tc>
        <w:tc>
          <w:tcPr>
            <w:tcW w:w="1534" w:type="dxa"/>
          </w:tcPr>
          <w:p w14:paraId="185EC92E"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Interoperability</w:t>
            </w:r>
          </w:p>
        </w:tc>
        <w:tc>
          <w:tcPr>
            <w:tcW w:w="8463" w:type="dxa"/>
          </w:tcPr>
          <w:p w14:paraId="0758ABBA" w14:textId="77777777" w:rsidR="00F94952" w:rsidRPr="00F94952" w:rsidRDefault="00F94952" w:rsidP="00F94952">
            <w:pPr>
              <w:spacing w:before="40" w:after="40"/>
              <w:rPr>
                <w:rFonts w:ascii="Arial" w:hAnsi="Arial"/>
                <w:sz w:val="18"/>
                <w:szCs w:val="18"/>
              </w:rPr>
            </w:pPr>
            <w:r>
              <w:rPr>
                <w:rFonts w:ascii="Arial" w:hAnsi="Arial"/>
                <w:sz w:val="18"/>
                <w:szCs w:val="18"/>
              </w:rPr>
              <w:t>I</w:t>
            </w:r>
            <w:r w:rsidRPr="00F94952">
              <w:rPr>
                <w:rFonts w:ascii="Arial" w:hAnsi="Arial"/>
                <w:sz w:val="18"/>
                <w:szCs w:val="18"/>
              </w:rPr>
              <w:t>nteroperability with other PUID types</w:t>
            </w:r>
            <w:r>
              <w:rPr>
                <w:rFonts w:ascii="Arial" w:hAnsi="Arial"/>
                <w:sz w:val="18"/>
                <w:szCs w:val="18"/>
              </w:rPr>
              <w:t xml:space="preserve"> shall be ensured</w:t>
            </w:r>
          </w:p>
        </w:tc>
      </w:tr>
      <w:tr w:rsidR="00F94952" w:rsidRPr="00F94952" w14:paraId="1039D82F" w14:textId="77777777" w:rsidTr="007949B0">
        <w:tc>
          <w:tcPr>
            <w:tcW w:w="417" w:type="dxa"/>
          </w:tcPr>
          <w:p w14:paraId="4EA0A659" w14:textId="77777777" w:rsidR="00F94952" w:rsidRPr="00F94952" w:rsidRDefault="00F94952" w:rsidP="00F94952">
            <w:pPr>
              <w:spacing w:before="40" w:after="40"/>
              <w:jc w:val="right"/>
              <w:rPr>
                <w:rFonts w:ascii="Arial" w:hAnsi="Arial"/>
                <w:sz w:val="18"/>
                <w:szCs w:val="18"/>
              </w:rPr>
            </w:pPr>
            <w:r w:rsidRPr="00F94952">
              <w:rPr>
                <w:rFonts w:ascii="Arial" w:hAnsi="Arial"/>
                <w:sz w:val="18"/>
                <w:szCs w:val="18"/>
              </w:rPr>
              <w:t>9</w:t>
            </w:r>
          </w:p>
        </w:tc>
        <w:tc>
          <w:tcPr>
            <w:tcW w:w="1534" w:type="dxa"/>
          </w:tcPr>
          <w:p w14:paraId="041A94F4" w14:textId="77777777" w:rsidR="00F94952" w:rsidRPr="00F94952" w:rsidRDefault="00F94952" w:rsidP="00F94952">
            <w:pPr>
              <w:spacing w:before="40" w:after="40"/>
              <w:rPr>
                <w:rFonts w:ascii="Arial" w:hAnsi="Arial"/>
                <w:sz w:val="18"/>
                <w:szCs w:val="18"/>
              </w:rPr>
            </w:pPr>
            <w:r w:rsidRPr="00F94952">
              <w:rPr>
                <w:rFonts w:ascii="Arial" w:hAnsi="Arial"/>
                <w:sz w:val="18"/>
                <w:szCs w:val="18"/>
              </w:rPr>
              <w:t>Compatability</w:t>
            </w:r>
          </w:p>
        </w:tc>
        <w:tc>
          <w:tcPr>
            <w:tcW w:w="8463" w:type="dxa"/>
          </w:tcPr>
          <w:p w14:paraId="0AD10858" w14:textId="77777777" w:rsidR="00F94952" w:rsidRPr="00F94952" w:rsidRDefault="00F94952" w:rsidP="00F94952">
            <w:pPr>
              <w:spacing w:before="40" w:after="40"/>
              <w:rPr>
                <w:rFonts w:ascii="Arial" w:hAnsi="Arial"/>
                <w:sz w:val="18"/>
                <w:szCs w:val="18"/>
              </w:rPr>
            </w:pPr>
            <w:r>
              <w:rPr>
                <w:rFonts w:ascii="Arial" w:hAnsi="Arial"/>
                <w:sz w:val="18"/>
                <w:szCs w:val="18"/>
              </w:rPr>
              <w:t>I</w:t>
            </w:r>
            <w:r w:rsidRPr="00F94952">
              <w:rPr>
                <w:rFonts w:ascii="Arial" w:hAnsi="Arial"/>
                <w:sz w:val="18"/>
                <w:szCs w:val="18"/>
              </w:rPr>
              <w:t>dentifiers</w:t>
            </w:r>
            <w:r>
              <w:rPr>
                <w:rFonts w:ascii="Arial" w:hAnsi="Arial"/>
                <w:sz w:val="18"/>
                <w:szCs w:val="18"/>
              </w:rPr>
              <w:t xml:space="preserve"> already assigned to entities </w:t>
            </w:r>
            <w:r w:rsidR="000634EF">
              <w:rPr>
                <w:rFonts w:ascii="Arial" w:hAnsi="Arial"/>
                <w:sz w:val="18"/>
                <w:szCs w:val="18"/>
              </w:rPr>
              <w:t xml:space="preserve">(e.g. Accession Numbers) </w:t>
            </w:r>
            <w:r>
              <w:rPr>
                <w:rFonts w:ascii="Arial" w:hAnsi="Arial"/>
                <w:sz w:val="18"/>
                <w:szCs w:val="18"/>
              </w:rPr>
              <w:t>shall be preserved</w:t>
            </w:r>
          </w:p>
        </w:tc>
      </w:tr>
      <w:tr w:rsidR="00F94952" w:rsidRPr="00F94952" w14:paraId="5E6D49A5" w14:textId="77777777" w:rsidTr="007949B0">
        <w:tc>
          <w:tcPr>
            <w:tcW w:w="417" w:type="dxa"/>
          </w:tcPr>
          <w:p w14:paraId="1627501A" w14:textId="77777777" w:rsidR="00F94952" w:rsidRPr="00F94952" w:rsidRDefault="00F94952" w:rsidP="00F94952">
            <w:pPr>
              <w:spacing w:before="40" w:after="40"/>
              <w:jc w:val="right"/>
              <w:rPr>
                <w:rFonts w:ascii="Arial" w:hAnsi="Arial"/>
                <w:sz w:val="18"/>
                <w:szCs w:val="18"/>
              </w:rPr>
            </w:pPr>
            <w:r>
              <w:rPr>
                <w:rFonts w:ascii="Arial" w:hAnsi="Arial"/>
                <w:sz w:val="18"/>
                <w:szCs w:val="18"/>
              </w:rPr>
              <w:t>10</w:t>
            </w:r>
          </w:p>
        </w:tc>
        <w:tc>
          <w:tcPr>
            <w:tcW w:w="1534" w:type="dxa"/>
          </w:tcPr>
          <w:p w14:paraId="7D38C4CA" w14:textId="77777777" w:rsidR="00F94952" w:rsidRPr="00F94952" w:rsidRDefault="00F94952" w:rsidP="00F94952">
            <w:pPr>
              <w:spacing w:before="40" w:after="40"/>
              <w:rPr>
                <w:rFonts w:ascii="Arial" w:hAnsi="Arial"/>
                <w:sz w:val="18"/>
                <w:szCs w:val="18"/>
              </w:rPr>
            </w:pPr>
            <w:r>
              <w:rPr>
                <w:rFonts w:ascii="Arial" w:hAnsi="Arial"/>
                <w:sz w:val="18"/>
                <w:szCs w:val="18"/>
              </w:rPr>
              <w:t>Multiple resolution</w:t>
            </w:r>
          </w:p>
        </w:tc>
        <w:tc>
          <w:tcPr>
            <w:tcW w:w="8463" w:type="dxa"/>
          </w:tcPr>
          <w:p w14:paraId="05E2874D" w14:textId="77777777" w:rsidR="00F94952" w:rsidRPr="00F94952" w:rsidRDefault="00F94952" w:rsidP="00F94952">
            <w:pPr>
              <w:spacing w:before="40" w:after="40"/>
              <w:rPr>
                <w:rFonts w:ascii="Arial" w:hAnsi="Arial"/>
                <w:sz w:val="18"/>
                <w:szCs w:val="18"/>
              </w:rPr>
            </w:pPr>
            <w:r>
              <w:rPr>
                <w:rFonts w:ascii="Arial" w:hAnsi="Arial"/>
                <w:sz w:val="18"/>
                <w:szCs w:val="18"/>
              </w:rPr>
              <w:t>The list of links to multiple destinations shall be returned in the resolution response. Moreover, filtering of destinations according to some metadata description shall be supported</w:t>
            </w:r>
          </w:p>
        </w:tc>
      </w:tr>
      <w:tr w:rsidR="00F94952" w:rsidRPr="00F94952" w14:paraId="29A02F7D" w14:textId="77777777" w:rsidTr="007949B0">
        <w:tc>
          <w:tcPr>
            <w:tcW w:w="417" w:type="dxa"/>
          </w:tcPr>
          <w:p w14:paraId="21AF3362" w14:textId="77777777" w:rsidR="00F94952" w:rsidRDefault="00F94952" w:rsidP="00F94952">
            <w:pPr>
              <w:spacing w:before="40" w:after="40"/>
              <w:jc w:val="right"/>
              <w:rPr>
                <w:rFonts w:ascii="Arial" w:hAnsi="Arial"/>
                <w:sz w:val="18"/>
                <w:szCs w:val="18"/>
              </w:rPr>
            </w:pPr>
            <w:r>
              <w:rPr>
                <w:rFonts w:ascii="Arial" w:hAnsi="Arial"/>
                <w:sz w:val="18"/>
                <w:szCs w:val="18"/>
              </w:rPr>
              <w:t>11</w:t>
            </w:r>
          </w:p>
        </w:tc>
        <w:tc>
          <w:tcPr>
            <w:tcW w:w="1534" w:type="dxa"/>
          </w:tcPr>
          <w:p w14:paraId="5952F46B" w14:textId="77777777" w:rsidR="00F94952" w:rsidRDefault="00F94952" w:rsidP="00F94952">
            <w:pPr>
              <w:spacing w:before="40" w:after="40"/>
              <w:rPr>
                <w:rFonts w:ascii="Arial" w:hAnsi="Arial"/>
                <w:sz w:val="18"/>
                <w:szCs w:val="18"/>
              </w:rPr>
            </w:pPr>
            <w:r>
              <w:rPr>
                <w:rFonts w:ascii="Arial" w:hAnsi="Arial"/>
                <w:sz w:val="18"/>
                <w:szCs w:val="18"/>
              </w:rPr>
              <w:t>Content negotiation</w:t>
            </w:r>
          </w:p>
        </w:tc>
        <w:tc>
          <w:tcPr>
            <w:tcW w:w="8463" w:type="dxa"/>
          </w:tcPr>
          <w:p w14:paraId="5E778117" w14:textId="77777777" w:rsidR="00F94952" w:rsidRDefault="007949B0" w:rsidP="000634EF">
            <w:pPr>
              <w:spacing w:before="40" w:after="40"/>
              <w:rPr>
                <w:rFonts w:ascii="Arial" w:hAnsi="Arial"/>
                <w:sz w:val="18"/>
                <w:szCs w:val="18"/>
              </w:rPr>
            </w:pPr>
            <w:r>
              <w:rPr>
                <w:rFonts w:ascii="Arial" w:hAnsi="Arial"/>
                <w:sz w:val="18"/>
                <w:szCs w:val="18"/>
              </w:rPr>
              <w:t>Client applications</w:t>
            </w:r>
            <w:r w:rsidR="000634EF">
              <w:rPr>
                <w:rFonts w:ascii="Arial" w:hAnsi="Arial"/>
                <w:sz w:val="18"/>
                <w:szCs w:val="18"/>
              </w:rPr>
              <w:t xml:space="preserve"> shall be able to specify the preferred format to be used in the response (e.g. XML, RDF, JSON)</w:t>
            </w:r>
          </w:p>
        </w:tc>
      </w:tr>
      <w:tr w:rsidR="000634EF" w:rsidRPr="00F94952" w14:paraId="28AFC504" w14:textId="77777777" w:rsidTr="007949B0">
        <w:tc>
          <w:tcPr>
            <w:tcW w:w="417" w:type="dxa"/>
          </w:tcPr>
          <w:p w14:paraId="014AA9FA" w14:textId="77777777" w:rsidR="000634EF" w:rsidRDefault="000634EF" w:rsidP="00F94952">
            <w:pPr>
              <w:spacing w:before="40" w:after="40"/>
              <w:jc w:val="right"/>
              <w:rPr>
                <w:rFonts w:ascii="Arial" w:hAnsi="Arial"/>
                <w:sz w:val="18"/>
                <w:szCs w:val="18"/>
              </w:rPr>
            </w:pPr>
            <w:r>
              <w:rPr>
                <w:rFonts w:ascii="Arial" w:hAnsi="Arial"/>
                <w:sz w:val="18"/>
                <w:szCs w:val="18"/>
              </w:rPr>
              <w:t>12</w:t>
            </w:r>
          </w:p>
        </w:tc>
        <w:tc>
          <w:tcPr>
            <w:tcW w:w="1534" w:type="dxa"/>
          </w:tcPr>
          <w:p w14:paraId="28678DF3" w14:textId="77777777" w:rsidR="000634EF" w:rsidRDefault="000634EF" w:rsidP="00F94952">
            <w:pPr>
              <w:spacing w:before="40" w:after="40"/>
              <w:rPr>
                <w:rFonts w:ascii="Arial" w:hAnsi="Arial"/>
                <w:sz w:val="18"/>
                <w:szCs w:val="18"/>
              </w:rPr>
            </w:pPr>
            <w:r>
              <w:rPr>
                <w:rFonts w:ascii="Arial" w:hAnsi="Arial"/>
                <w:sz w:val="18"/>
                <w:szCs w:val="18"/>
              </w:rPr>
              <w:t>Accepted standard</w:t>
            </w:r>
          </w:p>
        </w:tc>
        <w:tc>
          <w:tcPr>
            <w:tcW w:w="8463" w:type="dxa"/>
          </w:tcPr>
          <w:p w14:paraId="27BD6A9D" w14:textId="77777777" w:rsidR="000634EF" w:rsidRDefault="000634EF" w:rsidP="000634EF">
            <w:pPr>
              <w:spacing w:before="40" w:after="40"/>
              <w:rPr>
                <w:rFonts w:ascii="Arial" w:hAnsi="Arial"/>
                <w:sz w:val="18"/>
                <w:szCs w:val="18"/>
              </w:rPr>
            </w:pPr>
            <w:r>
              <w:rPr>
                <w:rFonts w:ascii="Arial" w:hAnsi="Arial"/>
                <w:sz w:val="18"/>
                <w:szCs w:val="18"/>
              </w:rPr>
              <w:t>Being the PUID type an internationally accepted standard is considered a plus because it will guarantee a coordinated development of the framework</w:t>
            </w:r>
          </w:p>
        </w:tc>
      </w:tr>
      <w:tr w:rsidR="000634EF" w:rsidRPr="00F94952" w14:paraId="16D9B6D6" w14:textId="77777777" w:rsidTr="007949B0">
        <w:tc>
          <w:tcPr>
            <w:tcW w:w="417" w:type="dxa"/>
          </w:tcPr>
          <w:p w14:paraId="7A260094" w14:textId="77777777" w:rsidR="000634EF" w:rsidRDefault="000634EF" w:rsidP="00F94952">
            <w:pPr>
              <w:spacing w:before="40" w:after="40"/>
              <w:jc w:val="right"/>
              <w:rPr>
                <w:rFonts w:ascii="Arial" w:hAnsi="Arial"/>
                <w:sz w:val="18"/>
                <w:szCs w:val="18"/>
              </w:rPr>
            </w:pPr>
            <w:r>
              <w:rPr>
                <w:rFonts w:ascii="Arial" w:hAnsi="Arial"/>
                <w:sz w:val="18"/>
                <w:szCs w:val="18"/>
              </w:rPr>
              <w:t>13</w:t>
            </w:r>
          </w:p>
        </w:tc>
        <w:tc>
          <w:tcPr>
            <w:tcW w:w="1534" w:type="dxa"/>
          </w:tcPr>
          <w:p w14:paraId="1EF13952" w14:textId="77777777" w:rsidR="000634EF" w:rsidRDefault="000634EF" w:rsidP="00F94952">
            <w:pPr>
              <w:spacing w:before="40" w:after="40"/>
              <w:rPr>
                <w:rFonts w:ascii="Arial" w:hAnsi="Arial"/>
                <w:sz w:val="18"/>
                <w:szCs w:val="18"/>
              </w:rPr>
            </w:pPr>
            <w:commentRangeStart w:id="1"/>
            <w:r>
              <w:rPr>
                <w:rFonts w:ascii="Arial" w:hAnsi="Arial"/>
                <w:sz w:val="18"/>
                <w:szCs w:val="18"/>
              </w:rPr>
              <w:t>Acquisition cost</w:t>
            </w:r>
          </w:p>
        </w:tc>
        <w:tc>
          <w:tcPr>
            <w:tcW w:w="8463" w:type="dxa"/>
          </w:tcPr>
          <w:p w14:paraId="2730D149" w14:textId="77777777" w:rsidR="000634EF" w:rsidRDefault="000634EF" w:rsidP="000634EF">
            <w:pPr>
              <w:spacing w:before="40" w:after="40"/>
              <w:rPr>
                <w:rFonts w:ascii="Arial" w:hAnsi="Arial"/>
                <w:sz w:val="18"/>
                <w:szCs w:val="18"/>
              </w:rPr>
            </w:pPr>
            <w:r>
              <w:rPr>
                <w:rFonts w:ascii="Arial" w:hAnsi="Arial"/>
                <w:sz w:val="18"/>
                <w:szCs w:val="18"/>
              </w:rPr>
              <w:t>The cost of acquiring licenses or registration with a central authority, as well as any other cost associated in acquiring the PUID technology (e.g. software tools) should be assessed</w:t>
            </w:r>
            <w:commentRangeEnd w:id="1"/>
            <w:r w:rsidR="00AC723D">
              <w:rPr>
                <w:rStyle w:val="CommentReference"/>
              </w:rPr>
              <w:commentReference w:id="1"/>
            </w:r>
          </w:p>
        </w:tc>
      </w:tr>
      <w:tr w:rsidR="000634EF" w:rsidRPr="00F94952" w14:paraId="6BF32139" w14:textId="77777777" w:rsidTr="007949B0">
        <w:tc>
          <w:tcPr>
            <w:tcW w:w="417" w:type="dxa"/>
          </w:tcPr>
          <w:p w14:paraId="3947F700" w14:textId="77777777" w:rsidR="000634EF" w:rsidRDefault="000634EF" w:rsidP="00F94952">
            <w:pPr>
              <w:spacing w:before="40" w:after="40"/>
              <w:jc w:val="right"/>
              <w:rPr>
                <w:rFonts w:ascii="Arial" w:hAnsi="Arial"/>
                <w:sz w:val="18"/>
                <w:szCs w:val="18"/>
              </w:rPr>
            </w:pPr>
            <w:r>
              <w:rPr>
                <w:rFonts w:ascii="Arial" w:hAnsi="Arial"/>
                <w:sz w:val="18"/>
                <w:szCs w:val="18"/>
              </w:rPr>
              <w:t>14</w:t>
            </w:r>
          </w:p>
        </w:tc>
        <w:tc>
          <w:tcPr>
            <w:tcW w:w="1534" w:type="dxa"/>
          </w:tcPr>
          <w:p w14:paraId="18DB8AE0" w14:textId="77777777" w:rsidR="000634EF" w:rsidRDefault="000634EF" w:rsidP="00F94952">
            <w:pPr>
              <w:spacing w:before="40" w:after="40"/>
              <w:rPr>
                <w:rFonts w:ascii="Arial" w:hAnsi="Arial"/>
                <w:sz w:val="18"/>
                <w:szCs w:val="18"/>
              </w:rPr>
            </w:pPr>
            <w:commentRangeStart w:id="2"/>
            <w:r>
              <w:rPr>
                <w:rFonts w:ascii="Arial" w:hAnsi="Arial"/>
                <w:sz w:val="18"/>
                <w:szCs w:val="18"/>
              </w:rPr>
              <w:t>Acceptance by publishers</w:t>
            </w:r>
          </w:p>
        </w:tc>
        <w:tc>
          <w:tcPr>
            <w:tcW w:w="8463" w:type="dxa"/>
          </w:tcPr>
          <w:p w14:paraId="396B7EFA" w14:textId="77777777" w:rsidR="000634EF" w:rsidRDefault="000634EF" w:rsidP="000634EF">
            <w:pPr>
              <w:spacing w:before="40" w:after="40"/>
              <w:rPr>
                <w:rFonts w:ascii="Arial" w:hAnsi="Arial"/>
                <w:sz w:val="18"/>
                <w:szCs w:val="18"/>
              </w:rPr>
            </w:pPr>
            <w:r>
              <w:rPr>
                <w:rFonts w:ascii="Arial" w:hAnsi="Arial"/>
                <w:sz w:val="18"/>
                <w:szCs w:val="18"/>
              </w:rPr>
              <w:t>It is expected that GLIS entities will be cited in journals, books and papers. Being the PUID widely accepted by publishers is considered a plus</w:t>
            </w:r>
            <w:commentRangeEnd w:id="2"/>
            <w:r w:rsidR="00AC723D">
              <w:rPr>
                <w:rStyle w:val="CommentReference"/>
              </w:rPr>
              <w:commentReference w:id="2"/>
            </w:r>
          </w:p>
        </w:tc>
      </w:tr>
      <w:tr w:rsidR="000634EF" w:rsidRPr="00F94952" w14:paraId="2664D698" w14:textId="77777777" w:rsidTr="007949B0">
        <w:tc>
          <w:tcPr>
            <w:tcW w:w="417" w:type="dxa"/>
          </w:tcPr>
          <w:p w14:paraId="694E70D4" w14:textId="77777777" w:rsidR="000634EF" w:rsidRDefault="000634EF" w:rsidP="00F94952">
            <w:pPr>
              <w:spacing w:before="40" w:after="40"/>
              <w:jc w:val="right"/>
              <w:rPr>
                <w:rFonts w:ascii="Arial" w:hAnsi="Arial"/>
                <w:sz w:val="18"/>
                <w:szCs w:val="18"/>
              </w:rPr>
            </w:pPr>
            <w:r>
              <w:rPr>
                <w:rFonts w:ascii="Arial" w:hAnsi="Arial"/>
                <w:sz w:val="18"/>
                <w:szCs w:val="18"/>
              </w:rPr>
              <w:t>15</w:t>
            </w:r>
          </w:p>
        </w:tc>
        <w:tc>
          <w:tcPr>
            <w:tcW w:w="1534" w:type="dxa"/>
          </w:tcPr>
          <w:p w14:paraId="014B6F3A" w14:textId="77777777" w:rsidR="000634EF" w:rsidRDefault="000634EF" w:rsidP="00F94952">
            <w:pPr>
              <w:spacing w:before="40" w:after="40"/>
              <w:rPr>
                <w:rFonts w:ascii="Arial" w:hAnsi="Arial"/>
                <w:sz w:val="18"/>
                <w:szCs w:val="18"/>
              </w:rPr>
            </w:pPr>
            <w:commentRangeStart w:id="3"/>
            <w:r>
              <w:rPr>
                <w:rFonts w:ascii="Arial" w:hAnsi="Arial"/>
                <w:sz w:val="18"/>
                <w:szCs w:val="18"/>
              </w:rPr>
              <w:t>Popularity</w:t>
            </w:r>
          </w:p>
        </w:tc>
        <w:tc>
          <w:tcPr>
            <w:tcW w:w="8463" w:type="dxa"/>
          </w:tcPr>
          <w:p w14:paraId="45F6C15D" w14:textId="77777777" w:rsidR="000634EF" w:rsidRDefault="000634EF" w:rsidP="000634EF">
            <w:pPr>
              <w:spacing w:before="40" w:after="40"/>
              <w:rPr>
                <w:rFonts w:ascii="Arial" w:hAnsi="Arial"/>
                <w:sz w:val="18"/>
                <w:szCs w:val="18"/>
              </w:rPr>
            </w:pPr>
            <w:r>
              <w:rPr>
                <w:rFonts w:ascii="Arial" w:hAnsi="Arial"/>
                <w:sz w:val="18"/>
                <w:szCs w:val="18"/>
              </w:rPr>
              <w:t>Adopting a PUID type that is widely used facilitates acceptance by users</w:t>
            </w:r>
            <w:commentRangeEnd w:id="3"/>
            <w:r w:rsidR="00AC723D">
              <w:rPr>
                <w:rStyle w:val="CommentReference"/>
              </w:rPr>
              <w:commentReference w:id="3"/>
            </w:r>
          </w:p>
        </w:tc>
      </w:tr>
      <w:tr w:rsidR="000634EF" w:rsidRPr="00F94952" w14:paraId="23A6DD75" w14:textId="77777777" w:rsidTr="007949B0">
        <w:tc>
          <w:tcPr>
            <w:tcW w:w="417" w:type="dxa"/>
          </w:tcPr>
          <w:p w14:paraId="058940F1" w14:textId="77777777" w:rsidR="000634EF" w:rsidRDefault="000634EF" w:rsidP="00F94952">
            <w:pPr>
              <w:spacing w:before="40" w:after="40"/>
              <w:jc w:val="right"/>
              <w:rPr>
                <w:rFonts w:ascii="Arial" w:hAnsi="Arial"/>
                <w:sz w:val="18"/>
                <w:szCs w:val="18"/>
              </w:rPr>
            </w:pPr>
            <w:r>
              <w:rPr>
                <w:rFonts w:ascii="Arial" w:hAnsi="Arial"/>
                <w:sz w:val="18"/>
                <w:szCs w:val="18"/>
              </w:rPr>
              <w:t>16</w:t>
            </w:r>
          </w:p>
        </w:tc>
        <w:tc>
          <w:tcPr>
            <w:tcW w:w="1534" w:type="dxa"/>
          </w:tcPr>
          <w:p w14:paraId="7D8D081B" w14:textId="77777777" w:rsidR="000634EF" w:rsidRDefault="000634EF" w:rsidP="00F94952">
            <w:pPr>
              <w:spacing w:before="40" w:after="40"/>
              <w:rPr>
                <w:rFonts w:ascii="Arial" w:hAnsi="Arial"/>
                <w:sz w:val="18"/>
                <w:szCs w:val="18"/>
              </w:rPr>
            </w:pPr>
            <w:r>
              <w:rPr>
                <w:rFonts w:ascii="Arial" w:hAnsi="Arial"/>
                <w:sz w:val="18"/>
                <w:szCs w:val="18"/>
              </w:rPr>
              <w:t>Availability of tools</w:t>
            </w:r>
          </w:p>
        </w:tc>
        <w:tc>
          <w:tcPr>
            <w:tcW w:w="8463" w:type="dxa"/>
          </w:tcPr>
          <w:p w14:paraId="267CFA9B" w14:textId="77777777" w:rsidR="000634EF" w:rsidRDefault="000634EF" w:rsidP="000634EF">
            <w:pPr>
              <w:spacing w:before="40" w:after="40"/>
              <w:rPr>
                <w:rFonts w:ascii="Arial" w:hAnsi="Arial"/>
                <w:sz w:val="18"/>
                <w:szCs w:val="18"/>
              </w:rPr>
            </w:pPr>
            <w:r>
              <w:rPr>
                <w:rFonts w:ascii="Arial" w:hAnsi="Arial"/>
                <w:sz w:val="18"/>
                <w:szCs w:val="18"/>
              </w:rPr>
              <w:t>Software tools available in the most common programming languages (e.g. PHP or Java) will facilitate integration in GLIS</w:t>
            </w:r>
          </w:p>
        </w:tc>
      </w:tr>
      <w:tr w:rsidR="000634EF" w:rsidRPr="00F94952" w14:paraId="490DE6EB" w14:textId="77777777" w:rsidTr="007949B0">
        <w:tc>
          <w:tcPr>
            <w:tcW w:w="417" w:type="dxa"/>
          </w:tcPr>
          <w:p w14:paraId="538AA07A" w14:textId="77777777" w:rsidR="000634EF" w:rsidRDefault="000634EF" w:rsidP="00F94952">
            <w:pPr>
              <w:spacing w:before="40" w:after="40"/>
              <w:jc w:val="right"/>
              <w:rPr>
                <w:rFonts w:ascii="Arial" w:hAnsi="Arial"/>
                <w:sz w:val="18"/>
                <w:szCs w:val="18"/>
              </w:rPr>
            </w:pPr>
            <w:r>
              <w:rPr>
                <w:rFonts w:ascii="Arial" w:hAnsi="Arial"/>
                <w:sz w:val="18"/>
                <w:szCs w:val="18"/>
              </w:rPr>
              <w:t>17</w:t>
            </w:r>
          </w:p>
        </w:tc>
        <w:tc>
          <w:tcPr>
            <w:tcW w:w="1534" w:type="dxa"/>
          </w:tcPr>
          <w:p w14:paraId="083B5366" w14:textId="77777777" w:rsidR="000634EF" w:rsidRDefault="003106E3" w:rsidP="00F94952">
            <w:pPr>
              <w:spacing w:before="40" w:after="40"/>
              <w:rPr>
                <w:rFonts w:ascii="Arial" w:hAnsi="Arial"/>
                <w:sz w:val="18"/>
                <w:szCs w:val="18"/>
              </w:rPr>
            </w:pPr>
            <w:r>
              <w:rPr>
                <w:rFonts w:ascii="Arial" w:hAnsi="Arial"/>
                <w:sz w:val="18"/>
                <w:szCs w:val="18"/>
              </w:rPr>
              <w:t>Resolution service</w:t>
            </w:r>
          </w:p>
        </w:tc>
        <w:tc>
          <w:tcPr>
            <w:tcW w:w="8463" w:type="dxa"/>
          </w:tcPr>
          <w:p w14:paraId="66FB12D2" w14:textId="77777777" w:rsidR="000634EF" w:rsidRDefault="003106E3" w:rsidP="003106E3">
            <w:pPr>
              <w:spacing w:before="40" w:after="40"/>
              <w:rPr>
                <w:rFonts w:ascii="Arial" w:hAnsi="Arial"/>
                <w:sz w:val="18"/>
                <w:szCs w:val="18"/>
              </w:rPr>
            </w:pPr>
            <w:r>
              <w:rPr>
                <w:rFonts w:ascii="Arial" w:hAnsi="Arial"/>
                <w:sz w:val="18"/>
                <w:szCs w:val="18"/>
              </w:rPr>
              <w:t>The availablity of a reliable, global resolution service is considered a plus because it will allow users outside the GLIS community to resolve GLIS PUIDs from third party websites</w:t>
            </w:r>
          </w:p>
        </w:tc>
      </w:tr>
      <w:tr w:rsidR="003106E3" w:rsidRPr="00F94952" w14:paraId="3F4F71C6" w14:textId="77777777" w:rsidTr="007949B0">
        <w:tc>
          <w:tcPr>
            <w:tcW w:w="417" w:type="dxa"/>
          </w:tcPr>
          <w:p w14:paraId="35609D0A" w14:textId="77777777" w:rsidR="003106E3" w:rsidRDefault="003106E3" w:rsidP="00F94952">
            <w:pPr>
              <w:spacing w:before="40" w:after="40"/>
              <w:jc w:val="right"/>
              <w:rPr>
                <w:rFonts w:ascii="Arial" w:hAnsi="Arial"/>
                <w:sz w:val="18"/>
                <w:szCs w:val="18"/>
              </w:rPr>
            </w:pPr>
            <w:r>
              <w:rPr>
                <w:rFonts w:ascii="Arial" w:hAnsi="Arial"/>
                <w:sz w:val="18"/>
                <w:szCs w:val="18"/>
              </w:rPr>
              <w:t>18</w:t>
            </w:r>
          </w:p>
        </w:tc>
        <w:tc>
          <w:tcPr>
            <w:tcW w:w="1534" w:type="dxa"/>
          </w:tcPr>
          <w:p w14:paraId="5675500A" w14:textId="77777777" w:rsidR="003106E3" w:rsidRDefault="003106E3" w:rsidP="00F94952">
            <w:pPr>
              <w:spacing w:before="40" w:after="40"/>
              <w:rPr>
                <w:rFonts w:ascii="Arial" w:hAnsi="Arial"/>
                <w:sz w:val="18"/>
                <w:szCs w:val="18"/>
              </w:rPr>
            </w:pPr>
            <w:r>
              <w:rPr>
                <w:rFonts w:ascii="Arial" w:hAnsi="Arial"/>
                <w:sz w:val="18"/>
                <w:szCs w:val="18"/>
              </w:rPr>
              <w:t>Framework design</w:t>
            </w:r>
          </w:p>
        </w:tc>
        <w:tc>
          <w:tcPr>
            <w:tcW w:w="8463" w:type="dxa"/>
          </w:tcPr>
          <w:p w14:paraId="6D8C6D71" w14:textId="77777777" w:rsidR="003106E3" w:rsidRDefault="003106E3" w:rsidP="003106E3">
            <w:pPr>
              <w:spacing w:before="40" w:after="40"/>
              <w:rPr>
                <w:rFonts w:ascii="Arial" w:hAnsi="Arial"/>
                <w:sz w:val="18"/>
                <w:szCs w:val="18"/>
              </w:rPr>
            </w:pPr>
            <w:r>
              <w:rPr>
                <w:rFonts w:ascii="Arial" w:hAnsi="Arial"/>
                <w:sz w:val="18"/>
                <w:szCs w:val="18"/>
              </w:rPr>
              <w:t>The detail and completeness of the logical and technical design framework should be evaluated as functions and services that are designed in the PUID type are likely to be more reliable, powerful and interoperable compared to areas that are not specified</w:t>
            </w:r>
          </w:p>
        </w:tc>
      </w:tr>
      <w:tr w:rsidR="003106E3" w:rsidRPr="00F94952" w14:paraId="4F84A058" w14:textId="77777777" w:rsidTr="007949B0">
        <w:tc>
          <w:tcPr>
            <w:tcW w:w="417" w:type="dxa"/>
          </w:tcPr>
          <w:p w14:paraId="65CC9E28" w14:textId="77777777" w:rsidR="003106E3" w:rsidRDefault="003106E3" w:rsidP="00F94952">
            <w:pPr>
              <w:spacing w:before="40" w:after="40"/>
              <w:jc w:val="right"/>
              <w:rPr>
                <w:rFonts w:ascii="Arial" w:hAnsi="Arial"/>
                <w:sz w:val="18"/>
                <w:szCs w:val="18"/>
              </w:rPr>
            </w:pPr>
            <w:r>
              <w:rPr>
                <w:rFonts w:ascii="Arial" w:hAnsi="Arial"/>
                <w:sz w:val="18"/>
                <w:szCs w:val="18"/>
              </w:rPr>
              <w:t>19</w:t>
            </w:r>
          </w:p>
        </w:tc>
        <w:tc>
          <w:tcPr>
            <w:tcW w:w="1534" w:type="dxa"/>
          </w:tcPr>
          <w:p w14:paraId="75DC4D94" w14:textId="77777777" w:rsidR="003106E3" w:rsidRDefault="003106E3" w:rsidP="00F94952">
            <w:pPr>
              <w:spacing w:before="40" w:after="40"/>
              <w:rPr>
                <w:rFonts w:ascii="Arial" w:hAnsi="Arial"/>
                <w:sz w:val="18"/>
                <w:szCs w:val="18"/>
              </w:rPr>
            </w:pPr>
            <w:r>
              <w:rPr>
                <w:rFonts w:ascii="Arial" w:hAnsi="Arial"/>
                <w:sz w:val="18"/>
                <w:szCs w:val="18"/>
              </w:rPr>
              <w:t>Metadata</w:t>
            </w:r>
          </w:p>
        </w:tc>
        <w:tc>
          <w:tcPr>
            <w:tcW w:w="8463" w:type="dxa"/>
          </w:tcPr>
          <w:p w14:paraId="1F9919EF" w14:textId="77777777" w:rsidR="003106E3" w:rsidRDefault="003106E3" w:rsidP="003106E3">
            <w:pPr>
              <w:spacing w:before="40" w:after="40"/>
              <w:rPr>
                <w:rFonts w:ascii="Arial" w:hAnsi="Arial"/>
                <w:sz w:val="18"/>
                <w:szCs w:val="18"/>
              </w:rPr>
            </w:pPr>
            <w:r>
              <w:rPr>
                <w:rFonts w:ascii="Arial" w:hAnsi="Arial"/>
                <w:sz w:val="18"/>
                <w:szCs w:val="18"/>
              </w:rPr>
              <w:t>The ability to incorporate different metadata descriptions is critical as GLIS is expected to grow to include, beside Accessions, geneomics, phenomics, institutions, people, regulations, technologies and more</w:t>
            </w:r>
          </w:p>
        </w:tc>
      </w:tr>
      <w:tr w:rsidR="006D6D55" w:rsidRPr="00F94952" w14:paraId="6542908E" w14:textId="77777777" w:rsidTr="007949B0">
        <w:tc>
          <w:tcPr>
            <w:tcW w:w="417" w:type="dxa"/>
          </w:tcPr>
          <w:p w14:paraId="750EAD59" w14:textId="45B08475" w:rsidR="006D6D55" w:rsidRDefault="006D6D55" w:rsidP="00F94952">
            <w:pPr>
              <w:spacing w:before="40" w:after="40"/>
              <w:jc w:val="right"/>
              <w:rPr>
                <w:rFonts w:ascii="Arial" w:hAnsi="Arial"/>
                <w:sz w:val="18"/>
                <w:szCs w:val="18"/>
              </w:rPr>
            </w:pPr>
            <w:r>
              <w:rPr>
                <w:rFonts w:ascii="Arial" w:hAnsi="Arial"/>
                <w:sz w:val="18"/>
                <w:szCs w:val="18"/>
              </w:rPr>
              <w:t>20</w:t>
            </w:r>
          </w:p>
        </w:tc>
        <w:tc>
          <w:tcPr>
            <w:tcW w:w="1534" w:type="dxa"/>
          </w:tcPr>
          <w:p w14:paraId="4F1D2724" w14:textId="0F9324E5" w:rsidR="006D6D55" w:rsidRDefault="006D6D55" w:rsidP="00F94952">
            <w:pPr>
              <w:spacing w:before="40" w:after="40"/>
              <w:rPr>
                <w:rFonts w:ascii="Arial" w:hAnsi="Arial"/>
                <w:sz w:val="18"/>
                <w:szCs w:val="18"/>
              </w:rPr>
            </w:pPr>
            <w:r>
              <w:rPr>
                <w:rFonts w:ascii="Arial" w:hAnsi="Arial"/>
                <w:sz w:val="18"/>
                <w:szCs w:val="18"/>
              </w:rPr>
              <w:t>Relations</w:t>
            </w:r>
          </w:p>
        </w:tc>
        <w:tc>
          <w:tcPr>
            <w:tcW w:w="8463" w:type="dxa"/>
          </w:tcPr>
          <w:p w14:paraId="2C737B01" w14:textId="53EED577" w:rsidR="006D6D55" w:rsidRDefault="006D6D55" w:rsidP="003106E3">
            <w:pPr>
              <w:spacing w:before="40" w:after="40"/>
              <w:rPr>
                <w:rFonts w:ascii="Arial" w:hAnsi="Arial"/>
                <w:sz w:val="18"/>
                <w:szCs w:val="18"/>
              </w:rPr>
            </w:pPr>
            <w:r>
              <w:rPr>
                <w:rFonts w:ascii="Arial" w:hAnsi="Arial"/>
                <w:sz w:val="18"/>
                <w:szCs w:val="18"/>
              </w:rPr>
              <w:t>The PUID shall support modeling of complex relations among entities such as instantiation, hierarchy, derivation, inclusion and so on</w:t>
            </w:r>
          </w:p>
        </w:tc>
      </w:tr>
      <w:tr w:rsidR="006D6D55" w:rsidRPr="00F94952" w14:paraId="36D86074" w14:textId="77777777" w:rsidTr="007949B0">
        <w:tc>
          <w:tcPr>
            <w:tcW w:w="417" w:type="dxa"/>
          </w:tcPr>
          <w:p w14:paraId="01E0F03C" w14:textId="25F9117E" w:rsidR="006D6D55" w:rsidRDefault="006D6D55" w:rsidP="00F94952">
            <w:pPr>
              <w:spacing w:before="40" w:after="40"/>
              <w:jc w:val="right"/>
              <w:rPr>
                <w:rFonts w:ascii="Arial" w:hAnsi="Arial"/>
                <w:sz w:val="18"/>
                <w:szCs w:val="18"/>
              </w:rPr>
            </w:pPr>
            <w:r>
              <w:rPr>
                <w:rFonts w:ascii="Arial" w:hAnsi="Arial"/>
                <w:sz w:val="18"/>
                <w:szCs w:val="18"/>
              </w:rPr>
              <w:t>21</w:t>
            </w:r>
          </w:p>
        </w:tc>
        <w:tc>
          <w:tcPr>
            <w:tcW w:w="1534" w:type="dxa"/>
          </w:tcPr>
          <w:p w14:paraId="2D6CCC4B" w14:textId="1D34997A" w:rsidR="006D6D55" w:rsidRDefault="006D6D55" w:rsidP="00F94952">
            <w:pPr>
              <w:spacing w:before="40" w:after="40"/>
              <w:rPr>
                <w:rFonts w:ascii="Arial" w:hAnsi="Arial"/>
                <w:sz w:val="18"/>
                <w:szCs w:val="18"/>
              </w:rPr>
            </w:pPr>
            <w:r>
              <w:rPr>
                <w:rFonts w:ascii="Arial" w:hAnsi="Arial"/>
                <w:sz w:val="18"/>
                <w:szCs w:val="18"/>
              </w:rPr>
              <w:t xml:space="preserve">Identification of fragments </w:t>
            </w:r>
          </w:p>
        </w:tc>
        <w:tc>
          <w:tcPr>
            <w:tcW w:w="8463" w:type="dxa"/>
          </w:tcPr>
          <w:p w14:paraId="41E63051" w14:textId="15876545" w:rsidR="006D6D55" w:rsidRDefault="006D6D55" w:rsidP="006D6D55">
            <w:pPr>
              <w:spacing w:before="40" w:after="40"/>
              <w:rPr>
                <w:rFonts w:ascii="Arial" w:hAnsi="Arial"/>
                <w:sz w:val="18"/>
                <w:szCs w:val="18"/>
              </w:rPr>
            </w:pPr>
            <w:r>
              <w:rPr>
                <w:rFonts w:ascii="Arial" w:hAnsi="Arial"/>
                <w:sz w:val="18"/>
                <w:szCs w:val="18"/>
              </w:rPr>
              <w:t>The possibility of identifying individual attributes or fragments of an entity without having to register individual PUID is considered a plus, especially for gene sequences or phenomics</w:t>
            </w:r>
          </w:p>
        </w:tc>
      </w:tr>
    </w:tbl>
    <w:p w14:paraId="2E08247D" w14:textId="77777777" w:rsidR="00F94952" w:rsidRPr="00F94952" w:rsidRDefault="00F94952" w:rsidP="00F94952">
      <w:pPr>
        <w:spacing w:after="60"/>
        <w:rPr>
          <w:rFonts w:ascii="Arial" w:hAnsi="Arial"/>
        </w:rPr>
      </w:pPr>
    </w:p>
    <w:sectPr w:rsidR="00F94952" w:rsidRPr="00F94952" w:rsidSect="00F94952">
      <w:pgSz w:w="11900" w:h="16840"/>
      <w:pgMar w:top="1134" w:right="851" w:bottom="1134" w:left="851"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iederichsen, Axel" w:date="2015-02-25T22:25:00Z" w:initials="DA">
    <w:p w14:paraId="798D36CB" w14:textId="6776B6EF" w:rsidR="00AC723D" w:rsidRDefault="00AC723D">
      <w:pPr>
        <w:pStyle w:val="CommentText"/>
      </w:pPr>
      <w:r>
        <w:rPr>
          <w:rStyle w:val="CommentReference"/>
        </w:rPr>
        <w:annotationRef/>
      </w:r>
      <w:r>
        <w:t>This seems not so relevant to me.</w:t>
      </w:r>
    </w:p>
  </w:comment>
  <w:comment w:id="1" w:author="Diederichsen, Axel" w:date="2015-02-25T22:28:00Z" w:initials="DA">
    <w:p w14:paraId="5054E702" w14:textId="3872D90B" w:rsidR="00AC723D" w:rsidRDefault="00AC723D">
      <w:pPr>
        <w:pStyle w:val="CommentText"/>
      </w:pPr>
      <w:r>
        <w:rPr>
          <w:rStyle w:val="CommentReference"/>
        </w:rPr>
        <w:annotationRef/>
      </w:r>
      <w:r>
        <w:t>These costs must be completely avoided or kept to a minimum.</w:t>
      </w:r>
    </w:p>
  </w:comment>
  <w:comment w:id="2" w:author="Diederichsen, Axel" w:date="2015-02-25T22:32:00Z" w:initials="DA">
    <w:p w14:paraId="28FD4002" w14:textId="069E217C" w:rsidR="00AC723D" w:rsidRDefault="00AC723D">
      <w:pPr>
        <w:pStyle w:val="CommentText"/>
      </w:pPr>
      <w:r>
        <w:rPr>
          <w:rStyle w:val="CommentReference"/>
        </w:rPr>
        <w:annotationRef/>
      </w:r>
      <w:r>
        <w:t xml:space="preserve">It is absolutely not acceptable to enforce this. Accession numbers of an organised genebank or other collection ar fully acceptable for publications. I dot oppose to have the PUIs and also to pint at their existence, but it will be extrememly confusing to enfocre their full quotation in printed publocations. </w:t>
      </w:r>
    </w:p>
  </w:comment>
  <w:comment w:id="3" w:author="Diederichsen, Axel" w:date="2015-02-25T22:34:00Z" w:initials="DA">
    <w:p w14:paraId="7B773E07" w14:textId="3325ADFB" w:rsidR="00AC723D" w:rsidRDefault="00AC723D">
      <w:pPr>
        <w:pStyle w:val="CommentText"/>
      </w:pPr>
      <w:r>
        <w:rPr>
          <w:rStyle w:val="CommentReference"/>
        </w:rPr>
        <w:annotationRef/>
      </w:r>
      <w:r>
        <w:t>This popularity will be limited to those who use computerized files. It would be extremely cumbersome, to use them in every instance.</w:t>
      </w:r>
      <w:bookmarkStart w:id="4" w:name="_GoBack"/>
      <w:bookmarkEnd w:id="4"/>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52"/>
    <w:rsid w:val="000634EF"/>
    <w:rsid w:val="003106E3"/>
    <w:rsid w:val="00340A8B"/>
    <w:rsid w:val="006D6D55"/>
    <w:rsid w:val="007949B0"/>
    <w:rsid w:val="007F3308"/>
    <w:rsid w:val="00AC723D"/>
    <w:rsid w:val="00C6381B"/>
    <w:rsid w:val="00CE4C2F"/>
    <w:rsid w:val="00F949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04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C723D"/>
    <w:rPr>
      <w:sz w:val="16"/>
      <w:szCs w:val="16"/>
    </w:rPr>
  </w:style>
  <w:style w:type="paragraph" w:styleId="CommentText">
    <w:name w:val="annotation text"/>
    <w:basedOn w:val="Normal"/>
    <w:link w:val="CommentTextChar"/>
    <w:uiPriority w:val="99"/>
    <w:semiHidden/>
    <w:unhideWhenUsed/>
    <w:rsid w:val="00AC723D"/>
    <w:rPr>
      <w:sz w:val="20"/>
      <w:szCs w:val="20"/>
    </w:rPr>
  </w:style>
  <w:style w:type="character" w:customStyle="1" w:styleId="CommentTextChar">
    <w:name w:val="Comment Text Char"/>
    <w:basedOn w:val="DefaultParagraphFont"/>
    <w:link w:val="CommentText"/>
    <w:uiPriority w:val="99"/>
    <w:semiHidden/>
    <w:rsid w:val="00AC723D"/>
    <w:rPr>
      <w:sz w:val="20"/>
      <w:szCs w:val="20"/>
      <w:lang w:val="it-IT"/>
    </w:rPr>
  </w:style>
  <w:style w:type="paragraph" w:styleId="CommentSubject">
    <w:name w:val="annotation subject"/>
    <w:basedOn w:val="CommentText"/>
    <w:next w:val="CommentText"/>
    <w:link w:val="CommentSubjectChar"/>
    <w:uiPriority w:val="99"/>
    <w:semiHidden/>
    <w:unhideWhenUsed/>
    <w:rsid w:val="00AC723D"/>
    <w:rPr>
      <w:b/>
      <w:bCs/>
    </w:rPr>
  </w:style>
  <w:style w:type="character" w:customStyle="1" w:styleId="CommentSubjectChar">
    <w:name w:val="Comment Subject Char"/>
    <w:basedOn w:val="CommentTextChar"/>
    <w:link w:val="CommentSubject"/>
    <w:uiPriority w:val="99"/>
    <w:semiHidden/>
    <w:rsid w:val="00AC723D"/>
    <w:rPr>
      <w:b/>
      <w:bCs/>
      <w:sz w:val="20"/>
      <w:szCs w:val="20"/>
      <w:lang w:val="it-IT"/>
    </w:rPr>
  </w:style>
  <w:style w:type="paragraph" w:styleId="BalloonText">
    <w:name w:val="Balloon Text"/>
    <w:basedOn w:val="Normal"/>
    <w:link w:val="BalloonTextChar"/>
    <w:uiPriority w:val="99"/>
    <w:semiHidden/>
    <w:unhideWhenUsed/>
    <w:rsid w:val="00AC723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23D"/>
    <w:rPr>
      <w:rFonts w:ascii="Tahoma" w:hAnsi="Tahoma" w:cs="Tahoma"/>
      <w:sz w:val="16"/>
      <w:szCs w:val="16"/>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C723D"/>
    <w:rPr>
      <w:sz w:val="16"/>
      <w:szCs w:val="16"/>
    </w:rPr>
  </w:style>
  <w:style w:type="paragraph" w:styleId="CommentText">
    <w:name w:val="annotation text"/>
    <w:basedOn w:val="Normal"/>
    <w:link w:val="CommentTextChar"/>
    <w:uiPriority w:val="99"/>
    <w:semiHidden/>
    <w:unhideWhenUsed/>
    <w:rsid w:val="00AC723D"/>
    <w:rPr>
      <w:sz w:val="20"/>
      <w:szCs w:val="20"/>
    </w:rPr>
  </w:style>
  <w:style w:type="character" w:customStyle="1" w:styleId="CommentTextChar">
    <w:name w:val="Comment Text Char"/>
    <w:basedOn w:val="DefaultParagraphFont"/>
    <w:link w:val="CommentText"/>
    <w:uiPriority w:val="99"/>
    <w:semiHidden/>
    <w:rsid w:val="00AC723D"/>
    <w:rPr>
      <w:sz w:val="20"/>
      <w:szCs w:val="20"/>
      <w:lang w:val="it-IT"/>
    </w:rPr>
  </w:style>
  <w:style w:type="paragraph" w:styleId="CommentSubject">
    <w:name w:val="annotation subject"/>
    <w:basedOn w:val="CommentText"/>
    <w:next w:val="CommentText"/>
    <w:link w:val="CommentSubjectChar"/>
    <w:uiPriority w:val="99"/>
    <w:semiHidden/>
    <w:unhideWhenUsed/>
    <w:rsid w:val="00AC723D"/>
    <w:rPr>
      <w:b/>
      <w:bCs/>
    </w:rPr>
  </w:style>
  <w:style w:type="character" w:customStyle="1" w:styleId="CommentSubjectChar">
    <w:name w:val="Comment Subject Char"/>
    <w:basedOn w:val="CommentTextChar"/>
    <w:link w:val="CommentSubject"/>
    <w:uiPriority w:val="99"/>
    <w:semiHidden/>
    <w:rsid w:val="00AC723D"/>
    <w:rPr>
      <w:b/>
      <w:bCs/>
      <w:sz w:val="20"/>
      <w:szCs w:val="20"/>
      <w:lang w:val="it-IT"/>
    </w:rPr>
  </w:style>
  <w:style w:type="paragraph" w:styleId="BalloonText">
    <w:name w:val="Balloon Text"/>
    <w:basedOn w:val="Normal"/>
    <w:link w:val="BalloonTextChar"/>
    <w:uiPriority w:val="99"/>
    <w:semiHidden/>
    <w:unhideWhenUsed/>
    <w:rsid w:val="00AC723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23D"/>
    <w:rPr>
      <w:rFonts w:ascii="Tahoma" w:hAnsi="Tahoma" w:cs="Tahoma"/>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2856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Marsella</dc:creator>
  <cp:keywords/>
  <dc:description/>
  <cp:lastModifiedBy>Diederichsen, Axel</cp:lastModifiedBy>
  <cp:revision>2</cp:revision>
  <dcterms:created xsi:type="dcterms:W3CDTF">2015-02-26T04:37:00Z</dcterms:created>
  <dcterms:modified xsi:type="dcterms:W3CDTF">2015-02-26T04:37:00Z</dcterms:modified>
</cp:coreProperties>
</file>