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D1F3E" w14:textId="77777777" w:rsidR="00F94952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bookmarkStart w:id="0" w:name="_GoBack"/>
      <w:bookmarkEnd w:id="0"/>
      <w:r w:rsidRPr="00A66DF9">
        <w:rPr>
          <w:rFonts w:ascii="Arial" w:hAnsi="Arial"/>
          <w:b/>
          <w:sz w:val="32"/>
          <w:szCs w:val="32"/>
          <w:lang w:val="en-US"/>
        </w:rPr>
        <w:t>Requirements of</w:t>
      </w:r>
    </w:p>
    <w:p w14:paraId="67B46B8E" w14:textId="77777777" w:rsidR="00F94952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Permanent Unique Identifiers (PUIDs)</w:t>
      </w:r>
    </w:p>
    <w:p w14:paraId="0F8F2538" w14:textId="77777777" w:rsidR="00C6381B" w:rsidRPr="00A66DF9" w:rsidRDefault="00F94952" w:rsidP="00F94952">
      <w:pPr>
        <w:spacing w:after="60"/>
        <w:jc w:val="center"/>
        <w:rPr>
          <w:rFonts w:ascii="Arial" w:hAnsi="Arial"/>
          <w:b/>
          <w:sz w:val="32"/>
          <w:szCs w:val="32"/>
          <w:lang w:val="en-US"/>
        </w:rPr>
      </w:pPr>
      <w:r w:rsidRPr="00A66DF9">
        <w:rPr>
          <w:rFonts w:ascii="Arial" w:hAnsi="Arial"/>
          <w:b/>
          <w:sz w:val="32"/>
          <w:szCs w:val="32"/>
          <w:lang w:val="en-US"/>
        </w:rPr>
        <w:t>in the context of the Global Information System (GLIS)</w:t>
      </w:r>
    </w:p>
    <w:p w14:paraId="019387C6" w14:textId="77777777" w:rsidR="00F94952" w:rsidRPr="00A66DF9" w:rsidRDefault="00F94952" w:rsidP="00F94952">
      <w:pPr>
        <w:spacing w:after="60"/>
        <w:rPr>
          <w:rFonts w:ascii="Arial" w:hAnsi="Arial"/>
          <w:b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7"/>
        <w:gridCol w:w="1534"/>
        <w:gridCol w:w="8463"/>
      </w:tblGrid>
      <w:tr w:rsidR="00F94952" w:rsidRPr="00A66DF9" w14:paraId="1E00F521" w14:textId="77777777" w:rsidTr="007949B0">
        <w:tc>
          <w:tcPr>
            <w:tcW w:w="417" w:type="dxa"/>
          </w:tcPr>
          <w:p w14:paraId="13CC73C6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#</w:t>
            </w:r>
          </w:p>
        </w:tc>
        <w:tc>
          <w:tcPr>
            <w:tcW w:w="1534" w:type="dxa"/>
          </w:tcPr>
          <w:p w14:paraId="2582394A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8463" w:type="dxa"/>
          </w:tcPr>
          <w:p w14:paraId="0FDCA05E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A66DF9">
              <w:rPr>
                <w:rFonts w:ascii="Arial" w:hAnsi="Arial"/>
                <w:b/>
                <w:sz w:val="20"/>
                <w:szCs w:val="20"/>
                <w:lang w:val="en-US"/>
              </w:rPr>
              <w:t>Description</w:t>
            </w:r>
          </w:p>
        </w:tc>
      </w:tr>
      <w:tr w:rsidR="00F94952" w:rsidRPr="00DE3A02" w14:paraId="7A838D76" w14:textId="77777777" w:rsidTr="007949B0">
        <w:tc>
          <w:tcPr>
            <w:tcW w:w="417" w:type="dxa"/>
          </w:tcPr>
          <w:p w14:paraId="25C8ACF2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14:paraId="1E9F99B8" w14:textId="77777777" w:rsidR="00F94952" w:rsidRPr="001520B1" w:rsidRDefault="00F94952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Uniqueness</w:t>
            </w:r>
          </w:p>
        </w:tc>
        <w:tc>
          <w:tcPr>
            <w:tcW w:w="8463" w:type="dxa"/>
          </w:tcPr>
          <w:p w14:paraId="6BD8E2D9" w14:textId="7753312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Each PUID shall be associated to one and only one</w:t>
            </w:r>
            <w:r w:rsidR="0005179E">
              <w:rPr>
                <w:rFonts w:ascii="Arial" w:hAnsi="Arial"/>
                <w:sz w:val="18"/>
                <w:szCs w:val="18"/>
                <w:lang w:val="en-US"/>
              </w:rPr>
              <w:t xml:space="preserve"> PGRFA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entity</w:t>
            </w:r>
          </w:p>
        </w:tc>
      </w:tr>
      <w:tr w:rsidR="00F94952" w:rsidRPr="00DE3A02" w14:paraId="79495E35" w14:textId="77777777" w:rsidTr="007949B0">
        <w:tc>
          <w:tcPr>
            <w:tcW w:w="417" w:type="dxa"/>
          </w:tcPr>
          <w:p w14:paraId="23D6DC62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14:paraId="04D16077" w14:textId="77777777" w:rsidR="00F94952" w:rsidRPr="001520B1" w:rsidRDefault="00F94952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Permanence</w:t>
            </w:r>
          </w:p>
        </w:tc>
        <w:tc>
          <w:tcPr>
            <w:tcW w:w="8463" w:type="dxa"/>
          </w:tcPr>
          <w:p w14:paraId="6F6E65EE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The association between the PUID and the entity shall be 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maintained 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>without any time limit</w:t>
            </w:r>
          </w:p>
        </w:tc>
      </w:tr>
      <w:tr w:rsidR="00F94952" w:rsidRPr="00DE3A02" w14:paraId="3648DF21" w14:textId="77777777" w:rsidTr="007949B0">
        <w:tc>
          <w:tcPr>
            <w:tcW w:w="417" w:type="dxa"/>
          </w:tcPr>
          <w:p w14:paraId="0EB0161C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14:paraId="144CF795" w14:textId="77777777" w:rsidR="00F94952" w:rsidRPr="001520B1" w:rsidRDefault="00F94952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Opacity</w:t>
            </w:r>
          </w:p>
        </w:tc>
        <w:tc>
          <w:tcPr>
            <w:tcW w:w="8463" w:type="dxa"/>
          </w:tcPr>
          <w:p w14:paraId="67C2C693" w14:textId="15F351F8" w:rsidR="00F94952" w:rsidRPr="00A66DF9" w:rsidRDefault="00F94952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No information on the entity 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>should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be </w:t>
            </w:r>
            <w:r w:rsidR="00F951BE" w:rsidRPr="00A66DF9">
              <w:rPr>
                <w:rFonts w:ascii="Arial" w:hAnsi="Arial"/>
                <w:sz w:val="18"/>
                <w:szCs w:val="18"/>
                <w:lang w:val="en-US"/>
              </w:rPr>
              <w:t>inferable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from the PUID alone</w:t>
            </w:r>
          </w:p>
        </w:tc>
      </w:tr>
      <w:tr w:rsidR="00F94952" w:rsidRPr="00DE3A02" w14:paraId="1119CC8C" w14:textId="77777777" w:rsidTr="007949B0">
        <w:tc>
          <w:tcPr>
            <w:tcW w:w="417" w:type="dxa"/>
          </w:tcPr>
          <w:p w14:paraId="24A4B3C8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14:paraId="5D91BB5F" w14:textId="77777777" w:rsidR="00F94952" w:rsidRPr="001520B1" w:rsidRDefault="00F94952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Resolvability</w:t>
            </w:r>
          </w:p>
        </w:tc>
        <w:tc>
          <w:tcPr>
            <w:tcW w:w="8463" w:type="dxa"/>
          </w:tcPr>
          <w:p w14:paraId="3ACE22CC" w14:textId="067B79B5" w:rsidR="00F94952" w:rsidRPr="00A66DF9" w:rsidRDefault="00F375A9" w:rsidP="00F375A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Suitable 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web </w:t>
            </w:r>
            <w:r w:rsidR="00F951BE">
              <w:rPr>
                <w:rFonts w:ascii="Arial" w:hAnsi="Arial"/>
                <w:sz w:val="18"/>
                <w:szCs w:val="18"/>
                <w:lang w:val="en-US"/>
              </w:rPr>
              <w:t>interface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s</w:t>
            </w:r>
            <w:r w:rsidR="00F951BE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are </w:t>
            </w:r>
            <w:r w:rsidR="00F951BE">
              <w:rPr>
                <w:rFonts w:ascii="Arial" w:hAnsi="Arial"/>
                <w:sz w:val="18"/>
                <w:szCs w:val="18"/>
                <w:lang w:val="en-US"/>
              </w:rPr>
              <w:t xml:space="preserve">needed 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where </w:t>
            </w:r>
            <w:r w:rsidR="00F951BE">
              <w:rPr>
                <w:rFonts w:ascii="Arial" w:hAnsi="Arial"/>
                <w:sz w:val="18"/>
                <w:szCs w:val="18"/>
                <w:lang w:val="en-US"/>
              </w:rPr>
              <w:t xml:space="preserve">a given PUID 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can be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used by humans and client applications 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to obtain a description of the </w:t>
            </w:r>
            <w:r w:rsidR="0005179E">
              <w:rPr>
                <w:rFonts w:ascii="Arial" w:hAnsi="Arial"/>
                <w:sz w:val="18"/>
                <w:szCs w:val="18"/>
                <w:lang w:val="en-US"/>
              </w:rPr>
              <w:t xml:space="preserve">metadata 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>associated</w:t>
            </w:r>
            <w:r w:rsidR="0005179E">
              <w:rPr>
                <w:rFonts w:ascii="Arial" w:hAnsi="Arial"/>
                <w:sz w:val="18"/>
                <w:szCs w:val="18"/>
                <w:lang w:val="en-US"/>
              </w:rPr>
              <w:t xml:space="preserve"> with the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05179E">
              <w:rPr>
                <w:rFonts w:ascii="Arial" w:hAnsi="Arial"/>
                <w:sz w:val="18"/>
                <w:szCs w:val="18"/>
                <w:lang w:val="en-US"/>
              </w:rPr>
              <w:t xml:space="preserve">PGRFA 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>entity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. Humans will receive a HTML page while a machine-readable format will be returned to client applications (see also #10 below)</w:t>
            </w:r>
          </w:p>
        </w:tc>
      </w:tr>
      <w:tr w:rsidR="00F94952" w:rsidRPr="00DE3A02" w14:paraId="3C2DB78F" w14:textId="77777777" w:rsidTr="007949B0">
        <w:tc>
          <w:tcPr>
            <w:tcW w:w="417" w:type="dxa"/>
          </w:tcPr>
          <w:p w14:paraId="25C8C192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14:paraId="21B6C60C" w14:textId="77777777" w:rsidR="00F94952" w:rsidRPr="001520B1" w:rsidRDefault="00F94952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Discoverability</w:t>
            </w:r>
          </w:p>
        </w:tc>
        <w:tc>
          <w:tcPr>
            <w:tcW w:w="8463" w:type="dxa"/>
          </w:tcPr>
          <w:p w14:paraId="7BD88330" w14:textId="3FE8DFFC" w:rsidR="00F94952" w:rsidRPr="00A66DF9" w:rsidRDefault="00F94952" w:rsidP="00F951B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Given one or more attributes of the entity, a web </w:t>
            </w:r>
            <w:r w:rsidR="00F951BE">
              <w:rPr>
                <w:rFonts w:ascii="Arial" w:hAnsi="Arial"/>
                <w:sz w:val="18"/>
                <w:szCs w:val="18"/>
                <w:lang w:val="en-US"/>
              </w:rPr>
              <w:t xml:space="preserve">interface 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>exist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>s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where those attributes can be entered to obtain the list of entities matching those attributes along with the associated PUIDs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. Again, this applies to both humans and client applications (see also #10 below)</w:t>
            </w:r>
          </w:p>
        </w:tc>
      </w:tr>
      <w:tr w:rsidR="00F94952" w:rsidRPr="00DE3A02" w14:paraId="0FFB98AA" w14:textId="77777777" w:rsidTr="007949B0">
        <w:tc>
          <w:tcPr>
            <w:tcW w:w="417" w:type="dxa"/>
          </w:tcPr>
          <w:p w14:paraId="40E7AAD0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14:paraId="1290BA71" w14:textId="77777777" w:rsidR="00F94952" w:rsidRPr="001520B1" w:rsidRDefault="00F94952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Security</w:t>
            </w:r>
          </w:p>
        </w:tc>
        <w:tc>
          <w:tcPr>
            <w:tcW w:w="8463" w:type="dxa"/>
          </w:tcPr>
          <w:p w14:paraId="554D4276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Access to PUID management functions (e.g. editing of associated metadata) shall be allowed only to authorized users</w:t>
            </w:r>
          </w:p>
        </w:tc>
      </w:tr>
      <w:tr w:rsidR="00F94952" w:rsidRPr="00DE3A02" w14:paraId="1D775696" w14:textId="77777777" w:rsidTr="007949B0">
        <w:tc>
          <w:tcPr>
            <w:tcW w:w="417" w:type="dxa"/>
          </w:tcPr>
          <w:p w14:paraId="421C6589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14:paraId="566FFFF3" w14:textId="77777777" w:rsidR="00F94952" w:rsidRPr="001520B1" w:rsidRDefault="00F94952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Scalability</w:t>
            </w:r>
          </w:p>
        </w:tc>
        <w:tc>
          <w:tcPr>
            <w:tcW w:w="8463" w:type="dxa"/>
          </w:tcPr>
          <w:p w14:paraId="21BAFC8C" w14:textId="77777777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The adopted PUID type shall be designed to handle very large number of identifiers (hundreds of millions)</w:t>
            </w:r>
          </w:p>
        </w:tc>
      </w:tr>
      <w:tr w:rsidR="00F94952" w:rsidRPr="00DE3A02" w14:paraId="6FC0B304" w14:textId="77777777" w:rsidTr="007949B0">
        <w:tc>
          <w:tcPr>
            <w:tcW w:w="417" w:type="dxa"/>
          </w:tcPr>
          <w:p w14:paraId="06417629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14:paraId="185EC92E" w14:textId="77777777" w:rsidR="00F94952" w:rsidRPr="001520B1" w:rsidRDefault="00F94952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Interoperability</w:t>
            </w:r>
          </w:p>
        </w:tc>
        <w:tc>
          <w:tcPr>
            <w:tcW w:w="8463" w:type="dxa"/>
          </w:tcPr>
          <w:p w14:paraId="0758ABBA" w14:textId="49F8DB69" w:rsidR="00F94952" w:rsidRPr="00A66DF9" w:rsidRDefault="00F94952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Interoperability with other PUID types shall be ensured</w:t>
            </w:r>
          </w:p>
        </w:tc>
      </w:tr>
      <w:tr w:rsidR="00F94952" w:rsidRPr="00DE3A02" w14:paraId="1039D82F" w14:textId="77777777" w:rsidTr="007949B0">
        <w:tc>
          <w:tcPr>
            <w:tcW w:w="417" w:type="dxa"/>
          </w:tcPr>
          <w:p w14:paraId="4EA0A659" w14:textId="77777777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534" w:type="dxa"/>
          </w:tcPr>
          <w:p w14:paraId="041A94F4" w14:textId="767B5AE5" w:rsidR="00F94952" w:rsidRPr="001520B1" w:rsidRDefault="005633A0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Compatibility</w:t>
            </w:r>
          </w:p>
        </w:tc>
        <w:tc>
          <w:tcPr>
            <w:tcW w:w="8463" w:type="dxa"/>
          </w:tcPr>
          <w:p w14:paraId="0AD10858" w14:textId="6B062FFF" w:rsidR="00F94952" w:rsidRPr="00A66DF9" w:rsidRDefault="00F951BE" w:rsidP="00F951BE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L</w:t>
            </w:r>
            <w:r w:rsidR="00F15BD0">
              <w:rPr>
                <w:rFonts w:ascii="Arial" w:hAnsi="Arial"/>
                <w:sz w:val="18"/>
                <w:szCs w:val="18"/>
                <w:lang w:val="en-US"/>
              </w:rPr>
              <w:t>ocal</w:t>
            </w:r>
            <w:r w:rsidR="005633A0">
              <w:rPr>
                <w:rFonts w:ascii="Arial" w:hAnsi="Arial"/>
                <w:sz w:val="18"/>
                <w:szCs w:val="18"/>
                <w:lang w:val="en-US"/>
              </w:rPr>
              <w:t xml:space="preserve"> identifiers</w:t>
            </w:r>
            <w:r w:rsidR="005633A0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already assigned to </w:t>
            </w:r>
            <w:r w:rsidR="0005179E">
              <w:rPr>
                <w:rFonts w:ascii="Arial" w:hAnsi="Arial"/>
                <w:sz w:val="18"/>
                <w:szCs w:val="18"/>
                <w:lang w:val="en-US"/>
              </w:rPr>
              <w:t xml:space="preserve">PGRFA 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entities 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>(e.g. Accession Numbers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, Collecting Number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) </w:t>
            </w:r>
            <w:r w:rsidR="00F94952" w:rsidRPr="00A66DF9">
              <w:rPr>
                <w:rFonts w:ascii="Arial" w:hAnsi="Arial"/>
                <w:sz w:val="18"/>
                <w:szCs w:val="18"/>
                <w:lang w:val="en-US"/>
              </w:rPr>
              <w:t>shall be preserved</w:t>
            </w:r>
            <w:r w:rsidR="00A837B9">
              <w:rPr>
                <w:rFonts w:ascii="Arial" w:hAnsi="Arial"/>
                <w:sz w:val="18"/>
                <w:szCs w:val="18"/>
                <w:lang w:val="en-US"/>
              </w:rPr>
              <w:t xml:space="preserve"> and provided as an attribute of the new PUID in the resolution service</w:t>
            </w:r>
          </w:p>
        </w:tc>
      </w:tr>
      <w:tr w:rsidR="00F94952" w:rsidRPr="00DE3A02" w14:paraId="29A02F7D" w14:textId="77777777" w:rsidTr="007949B0">
        <w:tc>
          <w:tcPr>
            <w:tcW w:w="417" w:type="dxa"/>
          </w:tcPr>
          <w:p w14:paraId="21AF3362" w14:textId="676C3635" w:rsidR="00F94952" w:rsidRPr="00A66DF9" w:rsidRDefault="00F94952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14:paraId="5952F46B" w14:textId="77777777" w:rsidR="00F94952" w:rsidRPr="001520B1" w:rsidRDefault="00F94952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Content negotiation</w:t>
            </w:r>
          </w:p>
        </w:tc>
        <w:tc>
          <w:tcPr>
            <w:tcW w:w="8463" w:type="dxa"/>
          </w:tcPr>
          <w:p w14:paraId="5E778117" w14:textId="735BF990" w:rsidR="00F94952" w:rsidRPr="00A66DF9" w:rsidRDefault="00F375A9" w:rsidP="00F375A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The default response format is HTML, but c</w:t>
            </w:r>
            <w:r w:rsidR="007949B0" w:rsidRPr="00A66DF9">
              <w:rPr>
                <w:rFonts w:ascii="Arial" w:hAnsi="Arial"/>
                <w:sz w:val="18"/>
                <w:szCs w:val="18"/>
                <w:lang w:val="en-US"/>
              </w:rPr>
              <w:t>lient applications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shall be able to specify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a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>preferred format (e.g. XML, RDF, JSON)</w:t>
            </w:r>
          </w:p>
        </w:tc>
      </w:tr>
      <w:tr w:rsidR="000634EF" w:rsidRPr="00DE3A02" w14:paraId="28AFC504" w14:textId="77777777" w:rsidTr="007949B0">
        <w:tc>
          <w:tcPr>
            <w:tcW w:w="417" w:type="dxa"/>
          </w:tcPr>
          <w:p w14:paraId="014AA9FA" w14:textId="2A81FDC1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534" w:type="dxa"/>
          </w:tcPr>
          <w:p w14:paraId="28678DF3" w14:textId="77777777" w:rsidR="000634EF" w:rsidRPr="001520B1" w:rsidRDefault="000634EF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Accepted standard</w:t>
            </w:r>
          </w:p>
        </w:tc>
        <w:tc>
          <w:tcPr>
            <w:tcW w:w="8463" w:type="dxa"/>
          </w:tcPr>
          <w:p w14:paraId="27BD6A9D" w14:textId="53252865" w:rsidR="000634EF" w:rsidRPr="00A66DF9" w:rsidRDefault="00771E4A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Selecting a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PUID type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that follow</w:t>
            </w:r>
            <w:r w:rsidR="00A837B9">
              <w:rPr>
                <w:rFonts w:ascii="Arial" w:hAnsi="Arial"/>
                <w:sz w:val="18"/>
                <w:szCs w:val="18"/>
                <w:lang w:val="en-US"/>
              </w:rPr>
              <w:t>s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0634EF" w:rsidRPr="00A66DF9">
              <w:rPr>
                <w:rFonts w:ascii="Arial" w:hAnsi="Arial"/>
                <w:sz w:val="18"/>
                <w:szCs w:val="18"/>
                <w:lang w:val="en-US"/>
              </w:rPr>
              <w:t>an internationally accepted standard is considered a plus because it will guarantee a coordinated development of the framework</w:t>
            </w:r>
          </w:p>
        </w:tc>
      </w:tr>
      <w:tr w:rsidR="000634EF" w:rsidRPr="00DE3A02" w14:paraId="16D9B6D6" w14:textId="77777777" w:rsidTr="007949B0">
        <w:tc>
          <w:tcPr>
            <w:tcW w:w="417" w:type="dxa"/>
          </w:tcPr>
          <w:p w14:paraId="7A260094" w14:textId="57F092EE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534" w:type="dxa"/>
          </w:tcPr>
          <w:p w14:paraId="1EF13952" w14:textId="4F4DAECF" w:rsidR="000634EF" w:rsidRPr="001520B1" w:rsidRDefault="000634EF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Acquisition </w:t>
            </w:r>
            <w:r w:rsidR="001520B1"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and maintenance </w:t>
            </w: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cost</w:t>
            </w:r>
            <w:r w:rsidR="001520B1"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8463" w:type="dxa"/>
          </w:tcPr>
          <w:p w14:paraId="77311889" w14:textId="77777777" w:rsidR="000634EF" w:rsidRDefault="000634EF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The cost of acquiring licenses or registration with a central authority, as well as any other cost associated in acquiring the PUID technology (e.g. software tools) should be assessed</w:t>
            </w:r>
          </w:p>
          <w:p w14:paraId="2730D149" w14:textId="08BE5A95" w:rsidR="000F5359" w:rsidRPr="00441C25" w:rsidRDefault="000F5359" w:rsidP="000634EF">
            <w:pPr>
              <w:spacing w:before="40" w:after="40"/>
              <w:rPr>
                <w:rFonts w:ascii="Arial" w:hAnsi="Arial"/>
                <w:i/>
                <w:sz w:val="18"/>
                <w:szCs w:val="18"/>
                <w:lang w:val="en-GB"/>
              </w:rPr>
            </w:pPr>
          </w:p>
        </w:tc>
      </w:tr>
      <w:tr w:rsidR="000634EF" w:rsidRPr="00DE3A02" w14:paraId="6BF32139" w14:textId="77777777" w:rsidTr="007949B0">
        <w:tc>
          <w:tcPr>
            <w:tcW w:w="417" w:type="dxa"/>
          </w:tcPr>
          <w:p w14:paraId="3947F700" w14:textId="434188AE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534" w:type="dxa"/>
          </w:tcPr>
          <w:p w14:paraId="18DB8AE0" w14:textId="4BBCABE5" w:rsidR="000634EF" w:rsidRPr="00A66DF9" w:rsidRDefault="000634EF" w:rsidP="00F94952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Acceptance by publishers</w:t>
            </w:r>
          </w:p>
        </w:tc>
        <w:tc>
          <w:tcPr>
            <w:tcW w:w="8463" w:type="dxa"/>
          </w:tcPr>
          <w:p w14:paraId="396B7EFA" w14:textId="69BFE670" w:rsidR="000634EF" w:rsidRPr="00A66DF9" w:rsidRDefault="000634EF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It is expected that GLIS entities will be cited in journals, books and papers. </w:t>
            </w:r>
            <w:r w:rsidR="00771E4A">
              <w:rPr>
                <w:rFonts w:ascii="Arial" w:hAnsi="Arial"/>
                <w:sz w:val="18"/>
                <w:szCs w:val="18"/>
                <w:lang w:val="en-US"/>
              </w:rPr>
              <w:t>Selecting a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PUID</w:t>
            </w:r>
            <w:r w:rsidR="00771E4A">
              <w:rPr>
                <w:rFonts w:ascii="Arial" w:hAnsi="Arial"/>
                <w:sz w:val="18"/>
                <w:szCs w:val="18"/>
                <w:lang w:val="en-US"/>
              </w:rPr>
              <w:t xml:space="preserve"> type that is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widely accepted by publishers is considered a plus</w:t>
            </w:r>
          </w:p>
        </w:tc>
      </w:tr>
      <w:tr w:rsidR="000634EF" w:rsidRPr="00DE3A02" w14:paraId="2664D698" w14:textId="77777777" w:rsidTr="007949B0">
        <w:tc>
          <w:tcPr>
            <w:tcW w:w="417" w:type="dxa"/>
          </w:tcPr>
          <w:p w14:paraId="694E70D4" w14:textId="201B5DE4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534" w:type="dxa"/>
          </w:tcPr>
          <w:p w14:paraId="014B6F3A" w14:textId="77777777" w:rsidR="000634EF" w:rsidRPr="001520B1" w:rsidRDefault="000634EF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Popularity</w:t>
            </w:r>
          </w:p>
        </w:tc>
        <w:tc>
          <w:tcPr>
            <w:tcW w:w="8463" w:type="dxa"/>
          </w:tcPr>
          <w:p w14:paraId="45F6C15D" w14:textId="77777777" w:rsidR="000634EF" w:rsidRPr="00A66DF9" w:rsidRDefault="000634EF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Adopting a PUID type that is widely used facilitates acceptance by users</w:t>
            </w:r>
          </w:p>
        </w:tc>
      </w:tr>
      <w:tr w:rsidR="000634EF" w:rsidRPr="00DE3A02" w14:paraId="23A6DD75" w14:textId="77777777" w:rsidTr="007949B0">
        <w:tc>
          <w:tcPr>
            <w:tcW w:w="417" w:type="dxa"/>
          </w:tcPr>
          <w:p w14:paraId="058940F1" w14:textId="54EDA44E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534" w:type="dxa"/>
          </w:tcPr>
          <w:p w14:paraId="7D8D081B" w14:textId="77777777" w:rsidR="000634EF" w:rsidRPr="001520B1" w:rsidRDefault="000634EF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Availability of tools</w:t>
            </w:r>
          </w:p>
        </w:tc>
        <w:tc>
          <w:tcPr>
            <w:tcW w:w="8463" w:type="dxa"/>
          </w:tcPr>
          <w:p w14:paraId="267CFA9B" w14:textId="77777777" w:rsidR="000634EF" w:rsidRPr="00A66DF9" w:rsidRDefault="000634EF" w:rsidP="000634EF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Software tools available in the most common programming languages (e.g. PHP or Java) will facilitate integration in GLIS</w:t>
            </w:r>
          </w:p>
        </w:tc>
      </w:tr>
      <w:tr w:rsidR="000634EF" w:rsidRPr="00DE3A02" w14:paraId="490DE6EB" w14:textId="77777777" w:rsidTr="007949B0">
        <w:tc>
          <w:tcPr>
            <w:tcW w:w="417" w:type="dxa"/>
          </w:tcPr>
          <w:p w14:paraId="538AA07A" w14:textId="3BC5322E" w:rsidR="000634EF" w:rsidRPr="00A66DF9" w:rsidRDefault="000634EF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534" w:type="dxa"/>
          </w:tcPr>
          <w:p w14:paraId="083B5366" w14:textId="68C6D091" w:rsidR="000634EF" w:rsidRPr="001520B1" w:rsidRDefault="003106E3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Resolution service</w:t>
            </w:r>
            <w:r w:rsidR="0005179E"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and multiple resolution </w:t>
            </w:r>
          </w:p>
        </w:tc>
        <w:tc>
          <w:tcPr>
            <w:tcW w:w="8463" w:type="dxa"/>
          </w:tcPr>
          <w:p w14:paraId="66FB12D2" w14:textId="3946ABF5" w:rsidR="000634EF" w:rsidRPr="00A66DF9" w:rsidRDefault="00F375A9" w:rsidP="00F375A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A</w:t>
            </w:r>
            <w:r w:rsidR="00771E4A" w:rsidRPr="00A66DF9">
              <w:rPr>
                <w:rFonts w:ascii="Arial" w:hAnsi="Arial"/>
                <w:sz w:val="18"/>
                <w:szCs w:val="18"/>
                <w:lang w:val="en-US"/>
              </w:rPr>
              <w:t>vailability</w:t>
            </w:r>
            <w:r w:rsidR="003106E3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of a reliable, global resolution service is considered a plus because it will allow users outside the GLIS community to resolve GLIS PUIDs from third party websites</w:t>
            </w:r>
            <w:r w:rsidR="0005179E">
              <w:rPr>
                <w:rFonts w:ascii="Arial" w:hAnsi="Arial"/>
                <w:sz w:val="18"/>
                <w:szCs w:val="18"/>
                <w:lang w:val="en-US"/>
              </w:rPr>
              <w:t>. As an optional and powerful feature, a</w:t>
            </w:r>
            <w:r w:rsidR="0005179E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list of links to multiple destinations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(with specific, multidisciplinary information on the same entity) </w:t>
            </w:r>
            <w:r w:rsidR="0005179E">
              <w:rPr>
                <w:rFonts w:ascii="Arial" w:hAnsi="Arial"/>
                <w:sz w:val="18"/>
                <w:szCs w:val="18"/>
                <w:lang w:val="en-US"/>
              </w:rPr>
              <w:t>can</w:t>
            </w:r>
            <w:r w:rsidR="0005179E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be returned in the resolution response.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In this case</w:t>
            </w:r>
            <w:r w:rsidR="0005179E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, filtering of destinations according to some metadata description </w:t>
            </w:r>
            <w:r w:rsidR="0005179E">
              <w:rPr>
                <w:rFonts w:ascii="Arial" w:hAnsi="Arial"/>
                <w:sz w:val="18"/>
                <w:szCs w:val="18"/>
                <w:lang w:val="en-US"/>
              </w:rPr>
              <w:t>can</w:t>
            </w:r>
            <w:r w:rsidR="0005179E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be supported</w:t>
            </w:r>
          </w:p>
        </w:tc>
      </w:tr>
      <w:tr w:rsidR="003106E3" w:rsidRPr="00DE3A02" w14:paraId="3F4F71C6" w14:textId="77777777" w:rsidTr="007949B0">
        <w:tc>
          <w:tcPr>
            <w:tcW w:w="417" w:type="dxa"/>
          </w:tcPr>
          <w:p w14:paraId="35609D0A" w14:textId="673FB8AF" w:rsidR="003106E3" w:rsidRPr="00A66DF9" w:rsidRDefault="003106E3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534" w:type="dxa"/>
          </w:tcPr>
          <w:p w14:paraId="5675500A" w14:textId="77777777" w:rsidR="003106E3" w:rsidRPr="001520B1" w:rsidRDefault="003106E3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Framework design</w:t>
            </w:r>
          </w:p>
        </w:tc>
        <w:tc>
          <w:tcPr>
            <w:tcW w:w="8463" w:type="dxa"/>
          </w:tcPr>
          <w:p w14:paraId="6D8C6D71" w14:textId="28FAA3C8" w:rsidR="003106E3" w:rsidRPr="00A66DF9" w:rsidRDefault="003106E3" w:rsidP="00771E4A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The detail and completeness of the logical and technical design framework should be evaluated </w:t>
            </w:r>
            <w:r w:rsidR="00771E4A">
              <w:rPr>
                <w:rFonts w:ascii="Arial" w:hAnsi="Arial"/>
                <w:sz w:val="18"/>
                <w:szCs w:val="18"/>
                <w:lang w:val="en-US"/>
              </w:rPr>
              <w:t>because</w:t>
            </w:r>
            <w:r w:rsidR="00771E4A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functions and services that are designed </w:t>
            </w:r>
            <w:r w:rsidR="00771E4A">
              <w:rPr>
                <w:rFonts w:ascii="Arial" w:hAnsi="Arial"/>
                <w:sz w:val="18"/>
                <w:szCs w:val="18"/>
                <w:lang w:val="en-US"/>
              </w:rPr>
              <w:t>and specified for</w:t>
            </w:r>
            <w:r w:rsidR="00771E4A"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>the PUID type</w:t>
            </w:r>
            <w:r w:rsidR="00771E4A">
              <w:rPr>
                <w:rFonts w:ascii="Arial" w:hAnsi="Arial"/>
                <w:sz w:val="18"/>
                <w:szCs w:val="18"/>
                <w:lang w:val="en-US"/>
              </w:rPr>
              <w:t>s in such frameworks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 are likely to be more reliable, powerful and interoperable </w:t>
            </w:r>
            <w:r w:rsidR="0005179E">
              <w:rPr>
                <w:rFonts w:ascii="Arial" w:hAnsi="Arial"/>
                <w:sz w:val="18"/>
                <w:szCs w:val="18"/>
                <w:lang w:val="en-US"/>
              </w:rPr>
              <w:t xml:space="preserve">with existing and future management systems 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>compared to areas that are not specified</w:t>
            </w:r>
          </w:p>
        </w:tc>
      </w:tr>
      <w:tr w:rsidR="003106E3" w:rsidRPr="00DE3A02" w14:paraId="4F84A058" w14:textId="77777777" w:rsidTr="007949B0">
        <w:tc>
          <w:tcPr>
            <w:tcW w:w="417" w:type="dxa"/>
          </w:tcPr>
          <w:p w14:paraId="65CC9E28" w14:textId="129CF3E2" w:rsidR="003106E3" w:rsidRPr="00A66DF9" w:rsidRDefault="003106E3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1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534" w:type="dxa"/>
          </w:tcPr>
          <w:p w14:paraId="75DC4D94" w14:textId="77777777" w:rsidR="003106E3" w:rsidRPr="001520B1" w:rsidRDefault="003106E3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Metadata</w:t>
            </w:r>
          </w:p>
        </w:tc>
        <w:tc>
          <w:tcPr>
            <w:tcW w:w="8463" w:type="dxa"/>
          </w:tcPr>
          <w:p w14:paraId="1F9919EF" w14:textId="65DC1D35" w:rsidR="003106E3" w:rsidRPr="00A66DF9" w:rsidRDefault="003106E3" w:rsidP="000F5359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The ability to incorporate different </w:t>
            </w:r>
            <w:r w:rsidR="00A837B9">
              <w:rPr>
                <w:rFonts w:ascii="Arial" w:hAnsi="Arial"/>
                <w:sz w:val="18"/>
                <w:szCs w:val="18"/>
                <w:lang w:val="en-US"/>
              </w:rPr>
              <w:t xml:space="preserve">entity types and </w:t>
            </w: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metadata descriptions is critical </w:t>
            </w:r>
          </w:p>
        </w:tc>
      </w:tr>
      <w:tr w:rsidR="006D6D55" w:rsidRPr="00DE3A02" w14:paraId="6542908E" w14:textId="77777777" w:rsidTr="007949B0">
        <w:tc>
          <w:tcPr>
            <w:tcW w:w="417" w:type="dxa"/>
          </w:tcPr>
          <w:p w14:paraId="750EAD59" w14:textId="2A44E491" w:rsidR="006D6D55" w:rsidRPr="00A66DF9" w:rsidRDefault="00F375A9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1534" w:type="dxa"/>
          </w:tcPr>
          <w:p w14:paraId="4F1D2724" w14:textId="0F9324E5" w:rsidR="006D6D55" w:rsidRPr="001520B1" w:rsidRDefault="006D6D55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Relations</w:t>
            </w:r>
          </w:p>
        </w:tc>
        <w:tc>
          <w:tcPr>
            <w:tcW w:w="8463" w:type="dxa"/>
          </w:tcPr>
          <w:p w14:paraId="2C737B01" w14:textId="53EED577" w:rsidR="006D6D55" w:rsidRPr="00A66DF9" w:rsidRDefault="006D6D55" w:rsidP="003106E3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The PUID shall support modeling of complex relations among entities such as instantiation, hierarchy, derivation, inclusion and so on</w:t>
            </w:r>
          </w:p>
        </w:tc>
      </w:tr>
      <w:tr w:rsidR="006D6D55" w:rsidRPr="00DE3A02" w14:paraId="36D86074" w14:textId="77777777" w:rsidTr="007949B0">
        <w:tc>
          <w:tcPr>
            <w:tcW w:w="417" w:type="dxa"/>
          </w:tcPr>
          <w:p w14:paraId="01E0F03C" w14:textId="300162BF" w:rsidR="006D6D55" w:rsidRPr="00A66DF9" w:rsidRDefault="006D6D55" w:rsidP="00F94952">
            <w:pPr>
              <w:spacing w:before="40" w:after="40"/>
              <w:jc w:val="right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>2</w:t>
            </w:r>
            <w:r w:rsidR="00F375A9">
              <w:rPr>
                <w:rFonts w:ascii="Arial" w:hAnsi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34" w:type="dxa"/>
          </w:tcPr>
          <w:p w14:paraId="2D6CCC4B" w14:textId="1D34997A" w:rsidR="006D6D55" w:rsidRPr="001520B1" w:rsidRDefault="006D6D55" w:rsidP="00F94952">
            <w:pPr>
              <w:spacing w:before="40" w:after="40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1520B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Identification of fragments </w:t>
            </w:r>
          </w:p>
        </w:tc>
        <w:tc>
          <w:tcPr>
            <w:tcW w:w="8463" w:type="dxa"/>
          </w:tcPr>
          <w:p w14:paraId="41E63051" w14:textId="5E8FC4B8" w:rsidR="006D6D55" w:rsidRPr="00A66DF9" w:rsidRDefault="006D6D55" w:rsidP="006D6196">
            <w:pPr>
              <w:spacing w:before="40" w:after="40"/>
              <w:rPr>
                <w:rFonts w:ascii="Arial" w:hAnsi="Arial"/>
                <w:sz w:val="18"/>
                <w:szCs w:val="18"/>
                <w:lang w:val="en-US"/>
              </w:rPr>
            </w:pPr>
            <w:r w:rsidRPr="00A66DF9">
              <w:rPr>
                <w:rFonts w:ascii="Arial" w:hAnsi="Arial"/>
                <w:sz w:val="18"/>
                <w:szCs w:val="18"/>
                <w:lang w:val="en-US"/>
              </w:rPr>
              <w:t xml:space="preserve">The possibility of identifying individual attributes or fragments of an entity </w:t>
            </w:r>
          </w:p>
        </w:tc>
      </w:tr>
    </w:tbl>
    <w:p w14:paraId="2E08247D" w14:textId="77777777" w:rsidR="00F94952" w:rsidRPr="00A66DF9" w:rsidRDefault="00F94952" w:rsidP="00F94952">
      <w:pPr>
        <w:spacing w:after="60"/>
        <w:rPr>
          <w:rFonts w:ascii="Arial" w:hAnsi="Arial"/>
          <w:lang w:val="en-US"/>
        </w:rPr>
      </w:pPr>
    </w:p>
    <w:sectPr w:rsidR="00F94952" w:rsidRPr="00A66DF9" w:rsidSect="00F94952">
      <w:pgSz w:w="11900" w:h="16840"/>
      <w:pgMar w:top="1134" w:right="851" w:bottom="1134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embedSystemFonts/>
  <w:proofState w:spelling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52"/>
    <w:rsid w:val="0005179E"/>
    <w:rsid w:val="000634EF"/>
    <w:rsid w:val="000F5359"/>
    <w:rsid w:val="001520B1"/>
    <w:rsid w:val="003106E3"/>
    <w:rsid w:val="00340A8B"/>
    <w:rsid w:val="004278EC"/>
    <w:rsid w:val="004336E7"/>
    <w:rsid w:val="00441C25"/>
    <w:rsid w:val="005633A0"/>
    <w:rsid w:val="006D6196"/>
    <w:rsid w:val="006D6D55"/>
    <w:rsid w:val="00771E4A"/>
    <w:rsid w:val="007949B0"/>
    <w:rsid w:val="007F3308"/>
    <w:rsid w:val="00832116"/>
    <w:rsid w:val="00931551"/>
    <w:rsid w:val="00A66DF9"/>
    <w:rsid w:val="00A837B9"/>
    <w:rsid w:val="00B63E40"/>
    <w:rsid w:val="00C6381B"/>
    <w:rsid w:val="00CA1BF1"/>
    <w:rsid w:val="00CE4C2F"/>
    <w:rsid w:val="00DE3A02"/>
    <w:rsid w:val="00F15BD0"/>
    <w:rsid w:val="00F375A9"/>
    <w:rsid w:val="00F94952"/>
    <w:rsid w:val="00F951B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04D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95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3A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A0"/>
    <w:rPr>
      <w:rFonts w:ascii="Lucida Grande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633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3A0"/>
    <w:rPr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A0"/>
    <w:rPr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Marsella</dc:creator>
  <cp:lastModifiedBy>Francisco Lopez (AGDT)</cp:lastModifiedBy>
  <cp:revision>2</cp:revision>
  <dcterms:created xsi:type="dcterms:W3CDTF">2015-03-02T18:14:00Z</dcterms:created>
  <dcterms:modified xsi:type="dcterms:W3CDTF">2015-03-02T18:14:00Z</dcterms:modified>
</cp:coreProperties>
</file>