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9F7" w:rsidRPr="00705BF5" w:rsidRDefault="006C49F7" w:rsidP="00705BF5">
      <w:pPr>
        <w:ind w:right="-184"/>
        <w:jc w:val="center"/>
        <w:rPr>
          <w:b/>
          <w:bCs/>
        </w:rPr>
      </w:pPr>
    </w:p>
    <w:p w:rsidR="006039E1" w:rsidRPr="00D37413" w:rsidRDefault="006039E1" w:rsidP="00705BF5">
      <w:pPr>
        <w:jc w:val="center"/>
        <w:rPr>
          <w:b/>
          <w:bCs/>
          <w:sz w:val="22"/>
          <w:szCs w:val="22"/>
        </w:rPr>
      </w:pPr>
      <w:r w:rsidRPr="00D37413">
        <w:rPr>
          <w:b/>
          <w:bCs/>
          <w:sz w:val="22"/>
          <w:szCs w:val="22"/>
        </w:rPr>
        <w:t>PROPOSAL OF THE SCOPE OF WORK</w:t>
      </w:r>
    </w:p>
    <w:p w:rsidR="006039E1" w:rsidRPr="00D37413" w:rsidRDefault="006039E1" w:rsidP="00705BF5">
      <w:pPr>
        <w:spacing w:after="120"/>
        <w:jc w:val="center"/>
        <w:rPr>
          <w:b/>
          <w:bCs/>
          <w:sz w:val="22"/>
          <w:szCs w:val="22"/>
        </w:rPr>
      </w:pPr>
      <w:r w:rsidRPr="00D37413">
        <w:rPr>
          <w:b/>
          <w:bCs/>
          <w:sz w:val="22"/>
          <w:szCs w:val="22"/>
        </w:rPr>
        <w:t xml:space="preserve">FOR THE PRODUCTION OF AN </w:t>
      </w:r>
      <w:r w:rsidRPr="00D37413">
        <w:rPr>
          <w:b/>
          <w:bCs/>
          <w:sz w:val="22"/>
          <w:szCs w:val="22"/>
        </w:rPr>
        <w:br/>
        <w:t xml:space="preserve">IMPLEMENTATION GUIDE ON THE USE OF </w:t>
      </w:r>
      <w:r w:rsidRPr="00D37413">
        <w:rPr>
          <w:b/>
          <w:bCs/>
          <w:sz w:val="22"/>
          <w:szCs w:val="22"/>
        </w:rPr>
        <w:br/>
        <w:t>THE GBEP SUSTAINABILITY INDICATORS FOR BIOENERGY</w:t>
      </w:r>
    </w:p>
    <w:p w:rsidR="006039E1" w:rsidRDefault="00D37413" w:rsidP="00D37413">
      <w:pPr>
        <w:jc w:val="center"/>
        <w:rPr>
          <w:b/>
          <w:bCs/>
          <w:sz w:val="22"/>
          <w:szCs w:val="22"/>
        </w:rPr>
      </w:pPr>
      <w:r>
        <w:rPr>
          <w:i/>
          <w:iCs/>
          <w:lang w:val="it-IT"/>
        </w:rPr>
        <w:t>(7 May</w:t>
      </w:r>
      <w:r w:rsidR="006039E1">
        <w:rPr>
          <w:i/>
          <w:iCs/>
          <w:lang w:val="it-IT"/>
        </w:rPr>
        <w:t xml:space="preserve"> 2015)</w:t>
      </w:r>
    </w:p>
    <w:p w:rsidR="006039E1" w:rsidRPr="00D37413" w:rsidRDefault="006039E1" w:rsidP="006039E1">
      <w:pPr>
        <w:ind w:firstLine="360"/>
        <w:jc w:val="both"/>
        <w:rPr>
          <w:b/>
          <w:bCs/>
          <w:sz w:val="16"/>
          <w:szCs w:val="16"/>
        </w:rPr>
      </w:pPr>
    </w:p>
    <w:p w:rsidR="006039E1" w:rsidRPr="00D37413" w:rsidRDefault="006039E1" w:rsidP="00D37413">
      <w:pPr>
        <w:pStyle w:val="ListParagraph1"/>
        <w:numPr>
          <w:ilvl w:val="0"/>
          <w:numId w:val="5"/>
        </w:numPr>
        <w:spacing w:after="60" w:line="240" w:lineRule="auto"/>
        <w:ind w:right="-187"/>
        <w:jc w:val="both"/>
        <w:rPr>
          <w:bCs/>
          <w:sz w:val="21"/>
          <w:szCs w:val="21"/>
        </w:rPr>
      </w:pPr>
      <w:r w:rsidRPr="00D37413">
        <w:rPr>
          <w:b/>
          <w:bCs/>
          <w:sz w:val="21"/>
          <w:szCs w:val="21"/>
        </w:rPr>
        <w:t>BACKGROUND AND GOAL</w:t>
      </w:r>
    </w:p>
    <w:p w:rsidR="006039E1" w:rsidRPr="00D37413" w:rsidRDefault="006039E1" w:rsidP="00D37413">
      <w:pPr>
        <w:spacing w:after="60"/>
        <w:ind w:right="-187" w:firstLine="288"/>
        <w:jc w:val="both"/>
        <w:rPr>
          <w:bCs/>
          <w:sz w:val="21"/>
          <w:szCs w:val="21"/>
        </w:rPr>
      </w:pPr>
      <w:r w:rsidRPr="00D37413">
        <w:rPr>
          <w:rFonts w:ascii="Calibri" w:hAnsi="Calibri" w:cs="Calibri"/>
          <w:bCs/>
          <w:sz w:val="21"/>
          <w:szCs w:val="21"/>
        </w:rPr>
        <w:t xml:space="preserve">In June 2014, a workshop of Activity Group 2 (AG2) of the Working Group on Capacity Building (WGCB) was held in Bonn, Germany, in order to exchange experiences related to the testing and implementation of the </w:t>
      </w:r>
      <w:bookmarkStart w:id="0" w:name="__DdeLink__1297_1006758818"/>
      <w:r w:rsidRPr="00D37413">
        <w:rPr>
          <w:rFonts w:ascii="Calibri" w:hAnsi="Calibri" w:cs="Calibri"/>
          <w:bCs/>
          <w:sz w:val="21"/>
          <w:szCs w:val="21"/>
        </w:rPr>
        <w:t>GBEP Sustainability Indicators for Bioenergy</w:t>
      </w:r>
      <w:bookmarkEnd w:id="0"/>
      <w:r w:rsidRPr="00D37413">
        <w:rPr>
          <w:rFonts w:ascii="Calibri" w:hAnsi="Calibri" w:cs="Calibri"/>
          <w:bCs/>
          <w:sz w:val="21"/>
          <w:szCs w:val="21"/>
        </w:rPr>
        <w:t xml:space="preserve"> (</w:t>
      </w:r>
      <w:r w:rsidR="00F93EBC" w:rsidRPr="00D37413">
        <w:rPr>
          <w:rFonts w:ascii="Calibri" w:hAnsi="Calibri" w:cs="Calibri"/>
          <w:bCs/>
          <w:sz w:val="21"/>
          <w:szCs w:val="21"/>
        </w:rPr>
        <w:t>GSISs</w:t>
      </w:r>
      <w:r w:rsidRPr="00D37413">
        <w:rPr>
          <w:rFonts w:ascii="Calibri" w:hAnsi="Calibri" w:cs="Calibri"/>
          <w:bCs/>
          <w:sz w:val="21"/>
          <w:szCs w:val="21"/>
        </w:rPr>
        <w:t xml:space="preserve">). This workshop, combined with follow-up work and discussions in preparation for and during a WGCB AG2 seminar in Rome in November 2014, led to the development of a table (Annex I) summarizing lessons </w:t>
      </w:r>
      <w:r w:rsidR="00F93EBC" w:rsidRPr="00D37413">
        <w:rPr>
          <w:rFonts w:ascii="Calibri" w:hAnsi="Calibri" w:cs="Calibri"/>
          <w:bCs/>
          <w:sz w:val="21"/>
          <w:szCs w:val="21"/>
        </w:rPr>
        <w:t>learned</w:t>
      </w:r>
      <w:r w:rsidRPr="00D37413">
        <w:rPr>
          <w:rFonts w:ascii="Calibri" w:hAnsi="Calibri" w:cs="Calibri"/>
          <w:bCs/>
          <w:sz w:val="21"/>
          <w:szCs w:val="21"/>
        </w:rPr>
        <w:t xml:space="preserve"> and recommendations emerging from </w:t>
      </w:r>
      <w:r w:rsidR="00F93EBC" w:rsidRPr="00D37413">
        <w:rPr>
          <w:rFonts w:ascii="Calibri" w:hAnsi="Calibri" w:cs="Calibri"/>
          <w:bCs/>
          <w:sz w:val="21"/>
          <w:szCs w:val="21"/>
        </w:rPr>
        <w:t>GSIs</w:t>
      </w:r>
      <w:r w:rsidRPr="00D37413">
        <w:rPr>
          <w:rFonts w:ascii="Calibri" w:hAnsi="Calibri" w:cs="Calibri"/>
          <w:bCs/>
          <w:sz w:val="21"/>
          <w:szCs w:val="21"/>
        </w:rPr>
        <w:t xml:space="preserve"> testing/implementation. During the WGCB AG2 seminar, it was suggested that an Implementation Guide on the use of the </w:t>
      </w:r>
      <w:r w:rsidR="00F93EBC" w:rsidRPr="00D37413">
        <w:rPr>
          <w:rFonts w:ascii="Calibri" w:hAnsi="Calibri" w:cs="Calibri"/>
          <w:bCs/>
          <w:sz w:val="21"/>
          <w:szCs w:val="21"/>
        </w:rPr>
        <w:t>GSIs</w:t>
      </w:r>
      <w:r w:rsidRPr="00D37413">
        <w:rPr>
          <w:rFonts w:ascii="Calibri" w:hAnsi="Calibri" w:cs="Calibri"/>
          <w:bCs/>
          <w:sz w:val="21"/>
          <w:szCs w:val="21"/>
        </w:rPr>
        <w:t xml:space="preserve"> could be created, in order to: </w:t>
      </w:r>
    </w:p>
    <w:p w:rsidR="006039E1" w:rsidRPr="00D37413" w:rsidRDefault="006039E1" w:rsidP="00705BF5">
      <w:pPr>
        <w:pStyle w:val="ListParagraph1"/>
        <w:numPr>
          <w:ilvl w:val="0"/>
          <w:numId w:val="4"/>
        </w:numPr>
        <w:ind w:right="-184"/>
        <w:jc w:val="both"/>
        <w:rPr>
          <w:bCs/>
          <w:sz w:val="21"/>
          <w:szCs w:val="21"/>
        </w:rPr>
      </w:pPr>
      <w:r w:rsidRPr="00D37413">
        <w:rPr>
          <w:bCs/>
          <w:sz w:val="21"/>
          <w:szCs w:val="21"/>
          <w:lang w:val="en-US"/>
        </w:rPr>
        <w:t xml:space="preserve">Facilitate the </w:t>
      </w:r>
      <w:r w:rsidR="004B29FC" w:rsidRPr="00D37413">
        <w:rPr>
          <w:bCs/>
          <w:sz w:val="21"/>
          <w:szCs w:val="21"/>
          <w:lang w:val="en-US"/>
        </w:rPr>
        <w:t xml:space="preserve">testing and </w:t>
      </w:r>
      <w:r w:rsidRPr="00D37413">
        <w:rPr>
          <w:bCs/>
          <w:sz w:val="21"/>
          <w:szCs w:val="21"/>
          <w:lang w:val="en-US"/>
        </w:rPr>
        <w:t xml:space="preserve">implementation of the </w:t>
      </w:r>
      <w:r w:rsidR="00F93EBC" w:rsidRPr="00D37413">
        <w:rPr>
          <w:bCs/>
          <w:sz w:val="21"/>
          <w:szCs w:val="21"/>
          <w:lang w:val="en-US"/>
        </w:rPr>
        <w:t>GSIs</w:t>
      </w:r>
      <w:r w:rsidRPr="00D37413">
        <w:rPr>
          <w:bCs/>
          <w:sz w:val="21"/>
          <w:szCs w:val="21"/>
          <w:lang w:val="en-US"/>
        </w:rPr>
        <w:t xml:space="preserve"> by future users, enabling them to take advantage of relevant lessons </w:t>
      </w:r>
      <w:r w:rsidR="00F93EBC" w:rsidRPr="00D37413">
        <w:rPr>
          <w:bCs/>
          <w:sz w:val="21"/>
          <w:szCs w:val="21"/>
          <w:lang w:val="en-US"/>
        </w:rPr>
        <w:t>learned</w:t>
      </w:r>
      <w:r w:rsidRPr="00D37413">
        <w:rPr>
          <w:bCs/>
          <w:sz w:val="21"/>
          <w:szCs w:val="21"/>
          <w:lang w:val="en-US"/>
        </w:rPr>
        <w:t>; and</w:t>
      </w:r>
    </w:p>
    <w:p w:rsidR="006039E1" w:rsidRPr="00D37413" w:rsidRDefault="006039E1" w:rsidP="00705BF5">
      <w:pPr>
        <w:pStyle w:val="ListParagraph1"/>
        <w:numPr>
          <w:ilvl w:val="0"/>
          <w:numId w:val="4"/>
        </w:numPr>
        <w:ind w:right="-184"/>
        <w:jc w:val="both"/>
        <w:rPr>
          <w:bCs/>
          <w:sz w:val="21"/>
          <w:szCs w:val="21"/>
        </w:rPr>
      </w:pPr>
      <w:r w:rsidRPr="00D37413">
        <w:rPr>
          <w:bCs/>
          <w:sz w:val="21"/>
          <w:szCs w:val="21"/>
        </w:rPr>
        <w:t>Clarify and explain in more details some identified issues within the methodology sheets in the 1</w:t>
      </w:r>
      <w:r w:rsidRPr="00D37413">
        <w:rPr>
          <w:bCs/>
          <w:sz w:val="21"/>
          <w:szCs w:val="21"/>
          <w:vertAlign w:val="superscript"/>
        </w:rPr>
        <w:t>st</w:t>
      </w:r>
      <w:r w:rsidRPr="00D37413">
        <w:rPr>
          <w:bCs/>
          <w:sz w:val="21"/>
          <w:szCs w:val="21"/>
        </w:rPr>
        <w:t xml:space="preserve"> edition of the “Global Bioenergy Partnership Sustainability Indicators for Bioenergy” report, by:</w:t>
      </w:r>
    </w:p>
    <w:p w:rsidR="006039E1" w:rsidRPr="00D37413" w:rsidRDefault="006039E1" w:rsidP="00705BF5">
      <w:pPr>
        <w:pStyle w:val="ListParagraph1"/>
        <w:numPr>
          <w:ilvl w:val="1"/>
          <w:numId w:val="4"/>
        </w:numPr>
        <w:ind w:right="-184"/>
        <w:jc w:val="both"/>
        <w:rPr>
          <w:bCs/>
          <w:sz w:val="21"/>
          <w:szCs w:val="21"/>
        </w:rPr>
      </w:pPr>
      <w:r w:rsidRPr="00D37413">
        <w:rPr>
          <w:bCs/>
          <w:sz w:val="21"/>
          <w:szCs w:val="21"/>
        </w:rPr>
        <w:t xml:space="preserve">Ensuring a better integration of definitions and methodologies; </w:t>
      </w:r>
    </w:p>
    <w:p w:rsidR="006039E1" w:rsidRPr="00D37413" w:rsidRDefault="006039E1" w:rsidP="00705BF5">
      <w:pPr>
        <w:pStyle w:val="ListParagraph1"/>
        <w:numPr>
          <w:ilvl w:val="1"/>
          <w:numId w:val="4"/>
        </w:numPr>
        <w:ind w:right="-184"/>
        <w:jc w:val="both"/>
        <w:rPr>
          <w:bCs/>
          <w:sz w:val="21"/>
          <w:szCs w:val="21"/>
        </w:rPr>
      </w:pPr>
      <w:r w:rsidRPr="00D37413">
        <w:rPr>
          <w:bCs/>
          <w:sz w:val="21"/>
          <w:szCs w:val="21"/>
        </w:rPr>
        <w:t>Ensuring an effective implementation of the indicators; and</w:t>
      </w:r>
    </w:p>
    <w:p w:rsidR="006039E1" w:rsidRPr="00D37413" w:rsidRDefault="006039E1" w:rsidP="00705BF5">
      <w:pPr>
        <w:pStyle w:val="ListParagraph1"/>
        <w:numPr>
          <w:ilvl w:val="1"/>
          <w:numId w:val="4"/>
        </w:numPr>
        <w:ind w:right="-184"/>
        <w:jc w:val="both"/>
        <w:rPr>
          <w:bCs/>
          <w:sz w:val="21"/>
          <w:szCs w:val="21"/>
        </w:rPr>
      </w:pPr>
      <w:r w:rsidRPr="00D37413">
        <w:rPr>
          <w:bCs/>
          <w:sz w:val="21"/>
          <w:szCs w:val="21"/>
        </w:rPr>
        <w:t>Enhancing the practicality of the indicators.</w:t>
      </w:r>
    </w:p>
    <w:p w:rsidR="006039E1" w:rsidRPr="00D37413" w:rsidRDefault="006039E1" w:rsidP="00705BF5">
      <w:pPr>
        <w:ind w:right="-184" w:firstLine="360"/>
        <w:jc w:val="both"/>
        <w:rPr>
          <w:rFonts w:ascii="Calibri" w:hAnsi="Calibri" w:cs="Calibri"/>
          <w:bCs/>
          <w:sz w:val="21"/>
          <w:szCs w:val="21"/>
        </w:rPr>
      </w:pPr>
      <w:r w:rsidRPr="00D37413">
        <w:rPr>
          <w:rFonts w:ascii="Calibri" w:hAnsi="Calibri" w:cs="Calibri"/>
          <w:bCs/>
          <w:sz w:val="21"/>
          <w:szCs w:val="21"/>
        </w:rPr>
        <w:t>At the 6</w:t>
      </w:r>
      <w:r w:rsidRPr="00D37413">
        <w:rPr>
          <w:rFonts w:ascii="Calibri" w:hAnsi="Calibri" w:cs="Calibri"/>
          <w:bCs/>
          <w:sz w:val="21"/>
          <w:szCs w:val="21"/>
          <w:vertAlign w:val="superscript"/>
        </w:rPr>
        <w:t>th</w:t>
      </w:r>
      <w:r w:rsidRPr="00D37413">
        <w:rPr>
          <w:rFonts w:ascii="Calibri" w:hAnsi="Calibri" w:cs="Calibri"/>
          <w:bCs/>
          <w:sz w:val="21"/>
          <w:szCs w:val="21"/>
        </w:rPr>
        <w:t xml:space="preserve"> meeting of the GBEP Working Group on Capacity Building for Sustainable Bioenergy (WGCB), which took place in Rome on </w:t>
      </w:r>
      <w:r w:rsidRPr="00D37413">
        <w:rPr>
          <w:rFonts w:ascii="Calibri" w:hAnsi="Calibri" w:cs="Calibri"/>
          <w:sz w:val="21"/>
          <w:szCs w:val="21"/>
        </w:rPr>
        <w:t>12-13 November 2014,</w:t>
      </w:r>
      <w:r w:rsidRPr="00D37413">
        <w:rPr>
          <w:rFonts w:ascii="Calibri" w:hAnsi="Calibri" w:cs="Calibri"/>
          <w:bCs/>
          <w:sz w:val="21"/>
          <w:szCs w:val="21"/>
        </w:rPr>
        <w:t xml:space="preserve"> it was agreed that AG2 co-leaders would: draft a proposal on the scope of work for the production of an Implementation Guide on the use of the GBEP Sustainability Indicators for Bioenergy (</w:t>
      </w:r>
      <w:r w:rsidR="00F93EBC" w:rsidRPr="00D37413">
        <w:rPr>
          <w:rFonts w:ascii="Calibri" w:hAnsi="Calibri" w:cs="Calibri"/>
          <w:bCs/>
          <w:sz w:val="21"/>
          <w:szCs w:val="21"/>
        </w:rPr>
        <w:t>GSIs</w:t>
      </w:r>
      <w:r w:rsidRPr="00D37413">
        <w:rPr>
          <w:rFonts w:ascii="Calibri" w:hAnsi="Calibri" w:cs="Calibri"/>
          <w:bCs/>
          <w:sz w:val="21"/>
          <w:szCs w:val="21"/>
        </w:rPr>
        <w:t xml:space="preserve">); submit this proposal to AG2 members to seek a preliminary agreement within this group; and, finally, bring it before the Steering Committee. </w:t>
      </w:r>
    </w:p>
    <w:p w:rsidR="006039E1" w:rsidRPr="00D37413" w:rsidRDefault="006039E1" w:rsidP="00D37413">
      <w:pPr>
        <w:ind w:right="-184" w:firstLine="360"/>
        <w:jc w:val="both"/>
        <w:rPr>
          <w:rFonts w:ascii="Calibri" w:hAnsi="Calibri" w:cs="Calibri"/>
          <w:bCs/>
          <w:sz w:val="21"/>
          <w:szCs w:val="21"/>
        </w:rPr>
      </w:pPr>
      <w:r w:rsidRPr="00D37413">
        <w:rPr>
          <w:rFonts w:ascii="Calibri" w:hAnsi="Calibri" w:cs="Calibri"/>
          <w:bCs/>
          <w:sz w:val="21"/>
          <w:szCs w:val="21"/>
        </w:rPr>
        <w:t xml:space="preserve">The scope of work proposed in this document is addressed to the GBEP Task Force on Sustainability, which is the GBEP entity which elaborated the </w:t>
      </w:r>
      <w:r w:rsidR="00F93EBC" w:rsidRPr="00D37413">
        <w:rPr>
          <w:rFonts w:ascii="Calibri" w:hAnsi="Calibri" w:cs="Calibri"/>
          <w:bCs/>
          <w:sz w:val="21"/>
          <w:szCs w:val="21"/>
        </w:rPr>
        <w:t>GSIs</w:t>
      </w:r>
      <w:r w:rsidRPr="00D37413">
        <w:rPr>
          <w:rFonts w:ascii="Calibri" w:hAnsi="Calibri" w:cs="Calibri"/>
          <w:bCs/>
          <w:sz w:val="21"/>
          <w:szCs w:val="21"/>
        </w:rPr>
        <w:t xml:space="preserve"> and which is actually mandated to deal with this matter. </w:t>
      </w:r>
    </w:p>
    <w:p w:rsidR="006039E1" w:rsidRPr="00D37413" w:rsidRDefault="006039E1" w:rsidP="00705BF5">
      <w:pPr>
        <w:ind w:right="-184"/>
        <w:jc w:val="both"/>
        <w:rPr>
          <w:rFonts w:ascii="Calibri" w:hAnsi="Calibri" w:cs="Calibri"/>
          <w:bCs/>
          <w:sz w:val="16"/>
          <w:szCs w:val="16"/>
        </w:rPr>
      </w:pPr>
    </w:p>
    <w:p w:rsidR="006039E1" w:rsidRPr="00D37413" w:rsidRDefault="006039E1" w:rsidP="00D37413">
      <w:pPr>
        <w:pStyle w:val="ListParagraph1"/>
        <w:numPr>
          <w:ilvl w:val="0"/>
          <w:numId w:val="5"/>
        </w:numPr>
        <w:spacing w:after="60" w:line="240" w:lineRule="auto"/>
        <w:ind w:right="-187"/>
        <w:jc w:val="both"/>
        <w:rPr>
          <w:bCs/>
          <w:sz w:val="21"/>
          <w:szCs w:val="21"/>
        </w:rPr>
      </w:pPr>
      <w:r w:rsidRPr="00D37413">
        <w:rPr>
          <w:b/>
          <w:sz w:val="21"/>
          <w:szCs w:val="21"/>
        </w:rPr>
        <w:t>SCOPE OF WORK</w:t>
      </w:r>
    </w:p>
    <w:p w:rsidR="006039E1" w:rsidRPr="00D37413" w:rsidRDefault="006039E1" w:rsidP="00D37413">
      <w:pPr>
        <w:spacing w:after="60"/>
        <w:ind w:right="-187" w:firstLine="360"/>
        <w:jc w:val="both"/>
        <w:rPr>
          <w:rFonts w:ascii="Calibri" w:hAnsi="Calibri" w:cs="Calibri"/>
          <w:bCs/>
          <w:sz w:val="21"/>
          <w:szCs w:val="21"/>
        </w:rPr>
      </w:pPr>
      <w:r w:rsidRPr="00D37413">
        <w:rPr>
          <w:rFonts w:ascii="Calibri" w:hAnsi="Calibri" w:cs="Calibri"/>
          <w:bCs/>
          <w:sz w:val="21"/>
          <w:szCs w:val="21"/>
        </w:rPr>
        <w:t xml:space="preserve">This draft proposal is focused on guidance related to methodological and practical issues associated with the </w:t>
      </w:r>
      <w:r w:rsidR="0025336A" w:rsidRPr="00D37413">
        <w:rPr>
          <w:rFonts w:ascii="Calibri" w:hAnsi="Calibri" w:cs="Calibri"/>
          <w:bCs/>
          <w:sz w:val="21"/>
          <w:szCs w:val="21"/>
        </w:rPr>
        <w:t xml:space="preserve">measurement </w:t>
      </w:r>
      <w:r w:rsidRPr="00D37413">
        <w:rPr>
          <w:rFonts w:ascii="Calibri" w:hAnsi="Calibri" w:cs="Calibri"/>
          <w:bCs/>
          <w:sz w:val="21"/>
          <w:szCs w:val="21"/>
        </w:rPr>
        <w:t xml:space="preserve">of the </w:t>
      </w:r>
      <w:r w:rsidR="00F93EBC" w:rsidRPr="00D37413">
        <w:rPr>
          <w:rFonts w:ascii="Calibri" w:hAnsi="Calibri" w:cs="Calibri"/>
          <w:bCs/>
          <w:sz w:val="21"/>
          <w:szCs w:val="21"/>
        </w:rPr>
        <w:t>GSIs</w:t>
      </w:r>
      <w:r w:rsidRPr="00D37413">
        <w:rPr>
          <w:rFonts w:ascii="Calibri" w:hAnsi="Calibri" w:cs="Calibri"/>
          <w:bCs/>
          <w:sz w:val="21"/>
          <w:szCs w:val="21"/>
        </w:rPr>
        <w:t xml:space="preserve">. As such, it is not aimed at discussing and </w:t>
      </w:r>
      <w:r w:rsidR="00D37413" w:rsidRPr="00D37413">
        <w:rPr>
          <w:rFonts w:ascii="Calibri" w:hAnsi="Calibri" w:cs="Calibri"/>
          <w:bCs/>
          <w:sz w:val="21"/>
          <w:szCs w:val="21"/>
        </w:rPr>
        <w:t>revising</w:t>
      </w:r>
      <w:r w:rsidRPr="00D37413">
        <w:rPr>
          <w:rFonts w:ascii="Calibri" w:hAnsi="Calibri" w:cs="Calibri"/>
          <w:bCs/>
          <w:sz w:val="21"/>
          <w:szCs w:val="21"/>
        </w:rPr>
        <w:t xml:space="preserve"> the </w:t>
      </w:r>
      <w:r w:rsidR="004B29FC" w:rsidRPr="00D37413">
        <w:rPr>
          <w:rFonts w:ascii="Calibri" w:hAnsi="Calibri" w:cs="Calibri"/>
          <w:bCs/>
          <w:sz w:val="21"/>
          <w:szCs w:val="21"/>
        </w:rPr>
        <w:t>GBEP Sustainability Indicators for Bioenergy (GSIs)</w:t>
      </w:r>
      <w:r w:rsidRPr="00D37413">
        <w:rPr>
          <w:rFonts w:ascii="Calibri" w:hAnsi="Calibri" w:cs="Calibri"/>
          <w:bCs/>
          <w:sz w:val="21"/>
          <w:szCs w:val="21"/>
        </w:rPr>
        <w:t xml:space="preserve"> agreed upon by GBEP Partners and Observers in 2011</w:t>
      </w:r>
      <w:r w:rsidR="004B29FC" w:rsidRPr="00D37413">
        <w:rPr>
          <w:rFonts w:ascii="Calibri" w:hAnsi="Calibri" w:cs="Calibri"/>
          <w:bCs/>
          <w:sz w:val="21"/>
          <w:szCs w:val="21"/>
        </w:rPr>
        <w:t xml:space="preserve">. The Implementation Guide, which is expected to be one of the most important outputs of the GBEP Task Force on Sustainability, aims to provide additional guidance on </w:t>
      </w:r>
      <w:r w:rsidR="0025336A" w:rsidRPr="00D37413">
        <w:rPr>
          <w:rFonts w:ascii="Calibri" w:hAnsi="Calibri" w:cs="Calibri"/>
          <w:bCs/>
          <w:sz w:val="21"/>
          <w:szCs w:val="21"/>
        </w:rPr>
        <w:t xml:space="preserve">the </w:t>
      </w:r>
      <w:r w:rsidR="004B29FC" w:rsidRPr="00D37413">
        <w:rPr>
          <w:rFonts w:ascii="Calibri" w:hAnsi="Calibri" w:cs="Calibri"/>
          <w:bCs/>
          <w:sz w:val="21"/>
          <w:szCs w:val="21"/>
        </w:rPr>
        <w:t>testing and implementation of the GSI</w:t>
      </w:r>
      <w:r w:rsidR="0025336A" w:rsidRPr="00D37413">
        <w:rPr>
          <w:rFonts w:ascii="Calibri" w:hAnsi="Calibri" w:cs="Calibri"/>
          <w:bCs/>
          <w:sz w:val="21"/>
          <w:szCs w:val="21"/>
        </w:rPr>
        <w:t>s</w:t>
      </w:r>
      <w:r w:rsidR="004B29FC" w:rsidRPr="00D37413">
        <w:rPr>
          <w:rFonts w:ascii="Calibri" w:hAnsi="Calibri" w:cs="Calibri"/>
          <w:bCs/>
          <w:sz w:val="21"/>
          <w:szCs w:val="21"/>
        </w:rPr>
        <w:t>. As such, it will complement – rather than replace - the 1</w:t>
      </w:r>
      <w:r w:rsidR="004B29FC" w:rsidRPr="00D37413">
        <w:rPr>
          <w:rFonts w:ascii="Calibri" w:hAnsi="Calibri" w:cs="Calibri"/>
          <w:bCs/>
          <w:sz w:val="21"/>
          <w:szCs w:val="21"/>
          <w:vertAlign w:val="superscript"/>
        </w:rPr>
        <w:t>st</w:t>
      </w:r>
      <w:r w:rsidR="004B29FC" w:rsidRPr="00D37413">
        <w:rPr>
          <w:rFonts w:ascii="Calibri" w:hAnsi="Calibri" w:cs="Calibri"/>
          <w:bCs/>
          <w:sz w:val="21"/>
          <w:szCs w:val="21"/>
        </w:rPr>
        <w:t xml:space="preserve"> edition of the “Global Bioenergy Partnership Sustainability Indicators for Bioenergy” report.</w:t>
      </w:r>
    </w:p>
    <w:p w:rsidR="006039E1" w:rsidRPr="00D37413" w:rsidRDefault="006039E1" w:rsidP="00B26103">
      <w:pPr>
        <w:ind w:right="-184" w:firstLine="360"/>
        <w:jc w:val="both"/>
        <w:rPr>
          <w:rFonts w:ascii="Calibri" w:hAnsi="Calibri" w:cs="Calibri"/>
          <w:bCs/>
          <w:sz w:val="21"/>
          <w:szCs w:val="21"/>
        </w:rPr>
      </w:pPr>
      <w:r w:rsidRPr="00D37413">
        <w:rPr>
          <w:rFonts w:ascii="Calibri" w:hAnsi="Calibri" w:cs="Calibri"/>
          <w:bCs/>
          <w:sz w:val="21"/>
          <w:szCs w:val="21"/>
        </w:rPr>
        <w:t xml:space="preserve">As mentioned above, to date a number of lessons </w:t>
      </w:r>
      <w:r w:rsidR="00F93EBC" w:rsidRPr="00D37413">
        <w:rPr>
          <w:rFonts w:ascii="Calibri" w:hAnsi="Calibri" w:cs="Calibri"/>
          <w:bCs/>
          <w:sz w:val="21"/>
          <w:szCs w:val="21"/>
        </w:rPr>
        <w:t>learned</w:t>
      </w:r>
      <w:r w:rsidRPr="00D37413">
        <w:rPr>
          <w:rFonts w:ascii="Calibri" w:hAnsi="Calibri" w:cs="Calibri"/>
          <w:bCs/>
          <w:sz w:val="21"/>
          <w:szCs w:val="21"/>
        </w:rPr>
        <w:t xml:space="preserve"> have emerged from the testing and implementation of the </w:t>
      </w:r>
      <w:r w:rsidR="00F93EBC" w:rsidRPr="00D37413">
        <w:rPr>
          <w:rFonts w:ascii="Calibri" w:hAnsi="Calibri" w:cs="Calibri"/>
          <w:bCs/>
          <w:sz w:val="21"/>
          <w:szCs w:val="21"/>
        </w:rPr>
        <w:t>GSIs</w:t>
      </w:r>
      <w:r w:rsidRPr="00D37413">
        <w:rPr>
          <w:rFonts w:ascii="Calibri" w:hAnsi="Calibri" w:cs="Calibri"/>
          <w:bCs/>
          <w:sz w:val="21"/>
          <w:szCs w:val="21"/>
        </w:rPr>
        <w:t xml:space="preserve">, which is still on-going in a number of countries. These lessons </w:t>
      </w:r>
      <w:r w:rsidR="00D37413" w:rsidRPr="00D37413">
        <w:rPr>
          <w:rFonts w:ascii="Calibri" w:hAnsi="Calibri" w:cs="Calibri"/>
          <w:bCs/>
          <w:sz w:val="21"/>
          <w:szCs w:val="21"/>
        </w:rPr>
        <w:t>learned</w:t>
      </w:r>
      <w:r w:rsidRPr="00D37413">
        <w:rPr>
          <w:rFonts w:ascii="Calibri" w:hAnsi="Calibri" w:cs="Calibri"/>
          <w:bCs/>
          <w:sz w:val="21"/>
          <w:szCs w:val="21"/>
        </w:rPr>
        <w:t xml:space="preserve"> which are summarized in Annex I, </w:t>
      </w:r>
      <w:r w:rsidR="0025336A" w:rsidRPr="00D37413">
        <w:rPr>
          <w:rFonts w:ascii="Calibri" w:hAnsi="Calibri" w:cs="Calibri"/>
          <w:bCs/>
          <w:sz w:val="21"/>
          <w:szCs w:val="21"/>
        </w:rPr>
        <w:t>could</w:t>
      </w:r>
      <w:r w:rsidRPr="00D37413">
        <w:rPr>
          <w:rFonts w:ascii="Calibri" w:hAnsi="Calibri" w:cs="Calibri"/>
          <w:bCs/>
          <w:sz w:val="21"/>
          <w:szCs w:val="21"/>
        </w:rPr>
        <w:t xml:space="preserve"> be considered as indicative and assessed by the TF taking into account the scope of the </w:t>
      </w:r>
      <w:r w:rsidR="00F93EBC" w:rsidRPr="00D37413">
        <w:rPr>
          <w:rFonts w:ascii="Calibri" w:hAnsi="Calibri" w:cs="Calibri"/>
          <w:bCs/>
          <w:sz w:val="21"/>
          <w:szCs w:val="21"/>
        </w:rPr>
        <w:t>GSIs</w:t>
      </w:r>
      <w:r w:rsidRPr="00D37413">
        <w:rPr>
          <w:rFonts w:ascii="Calibri" w:hAnsi="Calibri" w:cs="Calibri"/>
          <w:bCs/>
          <w:sz w:val="21"/>
          <w:szCs w:val="21"/>
        </w:rPr>
        <w:t>. Building on this table and on additional experience with the implementation of the GBEP indicators,</w:t>
      </w:r>
      <w:r w:rsidR="00CF3374" w:rsidRPr="00D37413">
        <w:rPr>
          <w:rFonts w:ascii="Calibri" w:hAnsi="Calibri" w:cs="Calibri"/>
          <w:bCs/>
          <w:sz w:val="21"/>
          <w:szCs w:val="21"/>
        </w:rPr>
        <w:t xml:space="preserve"> which is</w:t>
      </w:r>
      <w:r w:rsidR="0025336A" w:rsidRPr="00D37413">
        <w:rPr>
          <w:rFonts w:ascii="Calibri" w:hAnsi="Calibri" w:cs="Calibri"/>
          <w:bCs/>
          <w:sz w:val="21"/>
          <w:szCs w:val="21"/>
        </w:rPr>
        <w:t xml:space="preserve"> still</w:t>
      </w:r>
      <w:r w:rsidR="00B26103" w:rsidRPr="00D37413">
        <w:rPr>
          <w:rFonts w:ascii="Calibri" w:hAnsi="Calibri" w:cs="Calibri"/>
          <w:bCs/>
          <w:sz w:val="21"/>
          <w:szCs w:val="21"/>
        </w:rPr>
        <w:t xml:space="preserve"> limited to date considering that only a few countries </w:t>
      </w:r>
      <w:r w:rsidR="0025336A" w:rsidRPr="00D37413">
        <w:rPr>
          <w:rFonts w:ascii="Calibri" w:hAnsi="Calibri" w:cs="Calibri"/>
          <w:bCs/>
          <w:sz w:val="21"/>
          <w:szCs w:val="21"/>
        </w:rPr>
        <w:t>have implemented the GSIs,</w:t>
      </w:r>
      <w:r w:rsidRPr="00D37413">
        <w:rPr>
          <w:rFonts w:ascii="Calibri" w:hAnsi="Calibri" w:cs="Calibri"/>
          <w:bCs/>
          <w:sz w:val="21"/>
          <w:szCs w:val="21"/>
        </w:rPr>
        <w:t xml:space="preserve"> it is proposed to provide guidance on both methodological and practical issues for the future application of the </w:t>
      </w:r>
      <w:r w:rsidR="00F93EBC" w:rsidRPr="00D37413">
        <w:rPr>
          <w:rFonts w:ascii="Calibri" w:hAnsi="Calibri" w:cs="Calibri"/>
          <w:bCs/>
          <w:sz w:val="21"/>
          <w:szCs w:val="21"/>
        </w:rPr>
        <w:t>GSIs</w:t>
      </w:r>
      <w:r w:rsidRPr="00D37413">
        <w:rPr>
          <w:rFonts w:ascii="Calibri" w:hAnsi="Calibri" w:cs="Calibri"/>
          <w:bCs/>
          <w:sz w:val="21"/>
          <w:szCs w:val="21"/>
        </w:rPr>
        <w:t xml:space="preserve">. As explained in section C, this guidance should consist mainly of an implementation guide. In the development of this guidance, priority could be given to cross-cutting issues that affect the measurement of all or most of the indicators. Once the above has been completed, and based on additional lessons </w:t>
      </w:r>
      <w:r w:rsidR="00F93EBC" w:rsidRPr="00D37413">
        <w:rPr>
          <w:rFonts w:ascii="Calibri" w:hAnsi="Calibri" w:cs="Calibri"/>
          <w:bCs/>
          <w:sz w:val="21"/>
          <w:szCs w:val="21"/>
        </w:rPr>
        <w:t>learned</w:t>
      </w:r>
      <w:r w:rsidRPr="00D37413">
        <w:rPr>
          <w:rFonts w:ascii="Calibri" w:hAnsi="Calibri" w:cs="Calibri"/>
          <w:bCs/>
          <w:sz w:val="21"/>
          <w:szCs w:val="21"/>
        </w:rPr>
        <w:t xml:space="preserve"> emerging from the further implementation of the </w:t>
      </w:r>
      <w:r w:rsidR="00F93EBC" w:rsidRPr="00D37413">
        <w:rPr>
          <w:rFonts w:ascii="Calibri" w:hAnsi="Calibri" w:cs="Calibri"/>
          <w:bCs/>
          <w:sz w:val="21"/>
          <w:szCs w:val="21"/>
        </w:rPr>
        <w:t>GSIs</w:t>
      </w:r>
      <w:r w:rsidRPr="00D37413">
        <w:rPr>
          <w:rFonts w:ascii="Calibri" w:hAnsi="Calibri" w:cs="Calibri"/>
          <w:bCs/>
          <w:sz w:val="21"/>
          <w:szCs w:val="21"/>
        </w:rPr>
        <w:t xml:space="preserve">, </w:t>
      </w:r>
      <w:r w:rsidR="00B26103" w:rsidRPr="00D37413">
        <w:rPr>
          <w:rFonts w:ascii="Calibri" w:hAnsi="Calibri" w:cs="Calibri"/>
          <w:bCs/>
          <w:sz w:val="21"/>
          <w:szCs w:val="21"/>
        </w:rPr>
        <w:t xml:space="preserve">in the Implementation Guide additional and complementary </w:t>
      </w:r>
      <w:r w:rsidRPr="00D37413">
        <w:rPr>
          <w:rFonts w:ascii="Calibri" w:hAnsi="Calibri" w:cs="Calibri"/>
          <w:bCs/>
          <w:sz w:val="21"/>
          <w:szCs w:val="21"/>
        </w:rPr>
        <w:t>guidance could then be provided on individual indicators.</w:t>
      </w:r>
    </w:p>
    <w:p w:rsidR="006039E1" w:rsidRPr="00D37413" w:rsidRDefault="006039E1" w:rsidP="00705BF5">
      <w:pPr>
        <w:ind w:right="-184" w:firstLine="360"/>
        <w:jc w:val="both"/>
        <w:rPr>
          <w:rFonts w:ascii="Calibri" w:hAnsi="Calibri" w:cs="Calibri"/>
          <w:bCs/>
          <w:sz w:val="21"/>
          <w:szCs w:val="21"/>
        </w:rPr>
      </w:pPr>
      <w:r w:rsidRPr="00D37413">
        <w:rPr>
          <w:rFonts w:ascii="Calibri" w:hAnsi="Calibri" w:cs="Calibri"/>
          <w:sz w:val="21"/>
          <w:szCs w:val="21"/>
        </w:rPr>
        <w:t xml:space="preserve">It goes beyond the capacity of the GBEP Task Force on Sustainability to work out detailed solutions for all of the specific issues considered in this scope of work.  However, overall suggestions should be provided by the TF </w:t>
      </w:r>
      <w:r w:rsidRPr="00D37413">
        <w:rPr>
          <w:rFonts w:ascii="Calibri" w:hAnsi="Calibri" w:cs="Calibri"/>
          <w:sz w:val="21"/>
          <w:szCs w:val="21"/>
        </w:rPr>
        <w:lastRenderedPageBreak/>
        <w:t>on how to address the most relevant among these issues and especially those of a general, cross-cutting nature.</w:t>
      </w:r>
      <w:r w:rsidRPr="00D37413">
        <w:rPr>
          <w:rFonts w:ascii="Calibri" w:hAnsi="Calibri" w:cs="Calibri"/>
          <w:bCs/>
          <w:sz w:val="21"/>
          <w:szCs w:val="21"/>
        </w:rPr>
        <w:t xml:space="preserve"> </w:t>
      </w:r>
    </w:p>
    <w:p w:rsidR="006039E1" w:rsidRPr="00D37413" w:rsidRDefault="006039E1" w:rsidP="00705BF5">
      <w:pPr>
        <w:ind w:right="-184" w:firstLine="360"/>
        <w:jc w:val="both"/>
        <w:rPr>
          <w:rFonts w:ascii="Calibri" w:hAnsi="Calibri"/>
          <w:b/>
          <w:sz w:val="21"/>
          <w:szCs w:val="21"/>
        </w:rPr>
      </w:pPr>
      <w:r w:rsidRPr="00D37413">
        <w:rPr>
          <w:rFonts w:ascii="Calibri" w:hAnsi="Calibri"/>
          <w:sz w:val="21"/>
          <w:szCs w:val="21"/>
        </w:rPr>
        <w:t xml:space="preserve">The implementation guide will provide non-exhaustive methodological and practical advice. The situation and capacity of </w:t>
      </w:r>
      <w:r w:rsidRPr="00D37413">
        <w:rPr>
          <w:rFonts w:ascii="Calibri" w:hAnsi="Calibri"/>
          <w:bCs/>
          <w:sz w:val="21"/>
          <w:szCs w:val="21"/>
        </w:rPr>
        <w:t>Partners and Observers</w:t>
      </w:r>
      <w:r w:rsidRPr="00D37413">
        <w:rPr>
          <w:rFonts w:ascii="Calibri" w:hAnsi="Calibri"/>
          <w:sz w:val="21"/>
          <w:szCs w:val="21"/>
        </w:rPr>
        <w:t xml:space="preserve"> may affect their ability to utilize this guidance. As a matter of fact, </w:t>
      </w:r>
      <w:r w:rsidRPr="00D37413">
        <w:rPr>
          <w:rFonts w:ascii="Calibri" w:hAnsi="Calibri" w:cs="Calibri"/>
          <w:bCs/>
          <w:sz w:val="21"/>
          <w:szCs w:val="21"/>
        </w:rPr>
        <w:t xml:space="preserve">a major difficulty </w:t>
      </w:r>
      <w:proofErr w:type="gramStart"/>
      <w:r w:rsidRPr="00D37413">
        <w:rPr>
          <w:rFonts w:ascii="Calibri" w:hAnsi="Calibri" w:cs="Calibri"/>
          <w:bCs/>
          <w:sz w:val="21"/>
          <w:szCs w:val="21"/>
        </w:rPr>
        <w:t>that countries</w:t>
      </w:r>
      <w:proofErr w:type="gramEnd"/>
      <w:r w:rsidRPr="00D37413">
        <w:rPr>
          <w:rFonts w:ascii="Calibri" w:hAnsi="Calibri" w:cs="Calibri"/>
          <w:bCs/>
          <w:sz w:val="21"/>
          <w:szCs w:val="21"/>
        </w:rPr>
        <w:t xml:space="preserve"> have encountered when measuring the </w:t>
      </w:r>
      <w:r w:rsidR="00F93EBC" w:rsidRPr="00D37413">
        <w:rPr>
          <w:rFonts w:ascii="Calibri" w:hAnsi="Calibri" w:cs="Calibri"/>
          <w:bCs/>
          <w:sz w:val="21"/>
          <w:szCs w:val="21"/>
        </w:rPr>
        <w:t>GSIs</w:t>
      </w:r>
      <w:r w:rsidRPr="00D37413">
        <w:rPr>
          <w:rFonts w:ascii="Calibri" w:hAnsi="Calibri" w:cs="Calibri"/>
          <w:bCs/>
          <w:sz w:val="21"/>
          <w:szCs w:val="21"/>
        </w:rPr>
        <w:t xml:space="preserve"> is the lack of </w:t>
      </w:r>
      <w:r w:rsidRPr="00D37413">
        <w:rPr>
          <w:rFonts w:ascii="Calibri" w:hAnsi="Calibri" w:cs="Calibri"/>
          <w:bCs/>
          <w:color w:val="000000"/>
          <w:sz w:val="21"/>
          <w:szCs w:val="21"/>
        </w:rPr>
        <w:t xml:space="preserve">data, skills and/or resources, in particular in developing countries. As a consequence, capacity building was identified as relevant for almost all of the </w:t>
      </w:r>
      <w:r w:rsidR="00F93EBC" w:rsidRPr="00D37413">
        <w:rPr>
          <w:rFonts w:ascii="Calibri" w:hAnsi="Calibri" w:cs="Calibri"/>
          <w:bCs/>
          <w:color w:val="000000"/>
          <w:sz w:val="21"/>
          <w:szCs w:val="21"/>
        </w:rPr>
        <w:t>GSIs</w:t>
      </w:r>
      <w:r w:rsidRPr="00D37413">
        <w:rPr>
          <w:rFonts w:ascii="Calibri" w:hAnsi="Calibri" w:cs="Calibri"/>
          <w:bCs/>
          <w:color w:val="000000"/>
          <w:sz w:val="21"/>
          <w:szCs w:val="21"/>
        </w:rPr>
        <w:t xml:space="preserve">. In light of the above, in the development of the Implementation Guide, the TF should work in close contact with the WGCB in order to facilitate cooperation and capacity building activities on the implementation of the </w:t>
      </w:r>
      <w:r w:rsidR="00F93EBC" w:rsidRPr="00D37413">
        <w:rPr>
          <w:rFonts w:ascii="Calibri" w:hAnsi="Calibri" w:cs="Calibri"/>
          <w:bCs/>
          <w:color w:val="000000"/>
          <w:sz w:val="21"/>
          <w:szCs w:val="21"/>
        </w:rPr>
        <w:t>GSIs</w:t>
      </w:r>
      <w:r w:rsidRPr="00D37413">
        <w:rPr>
          <w:rFonts w:ascii="Calibri" w:hAnsi="Calibri" w:cs="Calibri"/>
          <w:bCs/>
          <w:color w:val="000000"/>
          <w:sz w:val="21"/>
          <w:szCs w:val="21"/>
        </w:rPr>
        <w:t xml:space="preserve">. </w:t>
      </w:r>
    </w:p>
    <w:p w:rsidR="006039E1" w:rsidRPr="00D37413" w:rsidRDefault="006039E1" w:rsidP="00705BF5">
      <w:pPr>
        <w:ind w:right="-184"/>
        <w:jc w:val="both"/>
        <w:rPr>
          <w:rFonts w:ascii="Calibri" w:hAnsi="Calibri" w:cs="Calibri"/>
          <w:b/>
          <w:bCs/>
          <w:sz w:val="21"/>
          <w:szCs w:val="21"/>
          <w:u w:val="single"/>
          <w:lang w:val="en-CA"/>
        </w:rPr>
      </w:pPr>
    </w:p>
    <w:p w:rsidR="006039E1" w:rsidRPr="00D37413" w:rsidRDefault="006039E1" w:rsidP="00D37413">
      <w:pPr>
        <w:pStyle w:val="ListParagraph1"/>
        <w:numPr>
          <w:ilvl w:val="0"/>
          <w:numId w:val="5"/>
        </w:numPr>
        <w:spacing w:after="60" w:line="240" w:lineRule="auto"/>
        <w:ind w:right="-187"/>
        <w:jc w:val="both"/>
        <w:rPr>
          <w:sz w:val="21"/>
          <w:szCs w:val="21"/>
        </w:rPr>
      </w:pPr>
      <w:r w:rsidRPr="00D37413">
        <w:rPr>
          <w:b/>
          <w:bCs/>
          <w:sz w:val="21"/>
          <w:szCs w:val="21"/>
        </w:rPr>
        <w:t>EXPECTED OUTPUTS</w:t>
      </w:r>
    </w:p>
    <w:p w:rsidR="00CF3374" w:rsidRPr="00D37413" w:rsidRDefault="006039E1" w:rsidP="00D37413">
      <w:pPr>
        <w:spacing w:after="60"/>
        <w:ind w:right="-187" w:firstLine="360"/>
        <w:jc w:val="both"/>
        <w:rPr>
          <w:rFonts w:ascii="Calibri" w:hAnsi="Calibri" w:cs="Arial"/>
          <w:sz w:val="21"/>
          <w:szCs w:val="21"/>
        </w:rPr>
      </w:pPr>
      <w:r w:rsidRPr="00D37413">
        <w:rPr>
          <w:rFonts w:ascii="Calibri" w:hAnsi="Calibri" w:cs="Calibri"/>
          <w:sz w:val="21"/>
          <w:szCs w:val="21"/>
        </w:rPr>
        <w:t xml:space="preserve">Primarily, the expected outcome shall consist of an </w:t>
      </w:r>
      <w:r w:rsidRPr="00D37413">
        <w:rPr>
          <w:rFonts w:ascii="Calibri" w:hAnsi="Calibri" w:cs="Calibri"/>
          <w:b/>
          <w:bCs/>
          <w:sz w:val="21"/>
          <w:szCs w:val="21"/>
        </w:rPr>
        <w:t>Implementation Guide</w:t>
      </w:r>
      <w:r w:rsidRPr="00D37413">
        <w:rPr>
          <w:rFonts w:ascii="Calibri" w:hAnsi="Calibri" w:cs="Calibri"/>
          <w:sz w:val="21"/>
          <w:szCs w:val="21"/>
        </w:rPr>
        <w:t xml:space="preserve"> to complement the indicator methodology sheets with detailed guidance on both methodological and practical issues related to the measurement of the indicators.</w:t>
      </w:r>
      <w:r w:rsidRPr="00D37413">
        <w:rPr>
          <w:rFonts w:ascii="Calibri" w:hAnsi="Calibri" w:cs="Calibri"/>
          <w:bCs/>
          <w:sz w:val="21"/>
          <w:szCs w:val="21"/>
        </w:rPr>
        <w:t xml:space="preserve"> The implementation guide shall aim to address the main issues described above. </w:t>
      </w:r>
      <w:r w:rsidRPr="00D37413">
        <w:rPr>
          <w:rFonts w:ascii="Calibri" w:hAnsi="Calibri" w:cs="Arial"/>
          <w:sz w:val="21"/>
          <w:szCs w:val="21"/>
        </w:rPr>
        <w:t xml:space="preserve">Based on experiences with the implementation of the </w:t>
      </w:r>
      <w:r w:rsidR="00F93EBC" w:rsidRPr="00D37413">
        <w:rPr>
          <w:rFonts w:ascii="Calibri" w:hAnsi="Calibri" w:cs="Arial"/>
          <w:sz w:val="21"/>
          <w:szCs w:val="21"/>
        </w:rPr>
        <w:t>GSIs</w:t>
      </w:r>
      <w:r w:rsidRPr="00D37413">
        <w:rPr>
          <w:rFonts w:ascii="Calibri" w:hAnsi="Calibri" w:cs="Arial"/>
          <w:sz w:val="21"/>
          <w:szCs w:val="21"/>
        </w:rPr>
        <w:t xml:space="preserve"> and related lessons </w:t>
      </w:r>
      <w:r w:rsidR="00F93EBC" w:rsidRPr="00D37413">
        <w:rPr>
          <w:rFonts w:ascii="Calibri" w:hAnsi="Calibri" w:cs="Arial"/>
          <w:sz w:val="21"/>
          <w:szCs w:val="21"/>
        </w:rPr>
        <w:t>learned</w:t>
      </w:r>
      <w:r w:rsidRPr="00D37413">
        <w:rPr>
          <w:rFonts w:ascii="Calibri" w:hAnsi="Calibri" w:cs="Arial"/>
          <w:sz w:val="21"/>
          <w:szCs w:val="21"/>
        </w:rPr>
        <w:t>, the guide could also include suggestions on how to engage effectively with relevant stakeholders when the indicators are implemented, depending on national circumstances.</w:t>
      </w:r>
    </w:p>
    <w:p w:rsidR="006039E1" w:rsidRPr="00D37413" w:rsidRDefault="00CF3374" w:rsidP="00700F19">
      <w:pPr>
        <w:ind w:right="-184" w:firstLine="360"/>
        <w:jc w:val="both"/>
        <w:rPr>
          <w:rFonts w:ascii="Calibri" w:hAnsi="Calibri" w:cs="Calibri"/>
          <w:b/>
          <w:sz w:val="21"/>
          <w:szCs w:val="21"/>
        </w:rPr>
      </w:pPr>
      <w:r w:rsidRPr="00D37413">
        <w:rPr>
          <w:rFonts w:ascii="Calibri" w:hAnsi="Calibri" w:cs="Calibri"/>
          <w:sz w:val="21"/>
          <w:szCs w:val="21"/>
        </w:rPr>
        <w:t xml:space="preserve">Since the lack of data, skills and resources can represent an important obstacle to the </w:t>
      </w:r>
      <w:r w:rsidR="00700F19" w:rsidRPr="00D37413">
        <w:rPr>
          <w:rFonts w:ascii="Calibri" w:hAnsi="Calibri" w:cs="Calibri"/>
          <w:sz w:val="21"/>
          <w:szCs w:val="21"/>
        </w:rPr>
        <w:t>implementation</w:t>
      </w:r>
      <w:r w:rsidRPr="00D37413">
        <w:rPr>
          <w:rFonts w:ascii="Calibri" w:hAnsi="Calibri" w:cs="Calibri"/>
          <w:sz w:val="21"/>
          <w:szCs w:val="21"/>
        </w:rPr>
        <w:t xml:space="preserve"> of the GSIs, especially in developing countries, in the development of the Implementation Guide the TF should work in coordination with the Working Group on Capacity Building</w:t>
      </w:r>
      <w:r w:rsidR="00700F19" w:rsidRPr="00D37413">
        <w:rPr>
          <w:rFonts w:ascii="Calibri" w:hAnsi="Calibri" w:cs="Calibri"/>
          <w:sz w:val="21"/>
          <w:szCs w:val="21"/>
        </w:rPr>
        <w:t>.</w:t>
      </w:r>
    </w:p>
    <w:p w:rsidR="006039E1" w:rsidRPr="00D37413" w:rsidRDefault="006039E1" w:rsidP="00705BF5">
      <w:pPr>
        <w:ind w:right="-184" w:firstLine="360"/>
        <w:jc w:val="both"/>
        <w:rPr>
          <w:rFonts w:ascii="Calibri" w:hAnsi="Calibri" w:cs="Calibri"/>
          <w:sz w:val="21"/>
          <w:szCs w:val="21"/>
        </w:rPr>
      </w:pPr>
      <w:r w:rsidRPr="00D37413">
        <w:rPr>
          <w:rFonts w:ascii="Calibri" w:hAnsi="Calibri" w:cs="Calibri"/>
          <w:sz w:val="21"/>
          <w:szCs w:val="21"/>
          <w:lang w:val="en-CA"/>
        </w:rPr>
        <w:t xml:space="preserve">It is recommended to deliver the implementation guide in several official languages of the UN besides English, depending on availability of funds. </w:t>
      </w:r>
      <w:r w:rsidRPr="00D37413">
        <w:rPr>
          <w:rFonts w:ascii="Calibri" w:hAnsi="Calibri" w:cs="Calibri"/>
          <w:sz w:val="21"/>
          <w:szCs w:val="21"/>
          <w:lang w:val="en-GB"/>
        </w:rPr>
        <w:t>This would greatly facilitate the dissemination and implementation of the indicators in developing countries around the world.</w:t>
      </w:r>
      <w:r w:rsidR="00F93EBC" w:rsidRPr="00D37413">
        <w:rPr>
          <w:rFonts w:ascii="Calibri" w:hAnsi="Calibri" w:cs="Calibri"/>
          <w:sz w:val="21"/>
          <w:szCs w:val="21"/>
          <w:lang w:val="en-GB"/>
        </w:rPr>
        <w:t xml:space="preserve"> The guide should be also made available online and it should include a glossary and a section with FAQs.</w:t>
      </w:r>
    </w:p>
    <w:p w:rsidR="006039E1" w:rsidRPr="00D37413" w:rsidRDefault="006039E1" w:rsidP="00705BF5">
      <w:pPr>
        <w:ind w:right="-184" w:firstLine="360"/>
        <w:jc w:val="both"/>
        <w:rPr>
          <w:rFonts w:ascii="Calibri" w:hAnsi="Calibri" w:cs="Calibri"/>
          <w:sz w:val="21"/>
          <w:szCs w:val="21"/>
          <w:lang w:val="en-GB"/>
        </w:rPr>
      </w:pPr>
      <w:r w:rsidRPr="00D37413">
        <w:rPr>
          <w:rFonts w:ascii="Calibri" w:hAnsi="Calibri" w:cs="Calibri"/>
          <w:sz w:val="21"/>
          <w:szCs w:val="21"/>
        </w:rPr>
        <w:t xml:space="preserve">If deemed relevant and feasible, an outline/template for an </w:t>
      </w:r>
      <w:r w:rsidRPr="00D37413">
        <w:rPr>
          <w:rFonts w:ascii="Calibri" w:hAnsi="Calibri" w:cs="Calibri"/>
          <w:b/>
          <w:bCs/>
          <w:sz w:val="21"/>
          <w:szCs w:val="21"/>
        </w:rPr>
        <w:t>Excel and/or web interface</w:t>
      </w:r>
      <w:r w:rsidRPr="00D37413">
        <w:rPr>
          <w:rFonts w:ascii="Calibri" w:hAnsi="Calibri" w:cs="Calibri"/>
          <w:sz w:val="21"/>
          <w:szCs w:val="21"/>
        </w:rPr>
        <w:t xml:space="preserve"> of the </w:t>
      </w:r>
      <w:r w:rsidR="00F93EBC" w:rsidRPr="00D37413">
        <w:rPr>
          <w:rFonts w:ascii="Calibri" w:hAnsi="Calibri" w:cs="Calibri"/>
          <w:sz w:val="21"/>
          <w:szCs w:val="21"/>
        </w:rPr>
        <w:t>GSIs</w:t>
      </w:r>
      <w:r w:rsidRPr="00D37413">
        <w:rPr>
          <w:rFonts w:ascii="Calibri" w:hAnsi="Calibri" w:cs="Calibri"/>
          <w:sz w:val="21"/>
          <w:szCs w:val="21"/>
        </w:rPr>
        <w:t xml:space="preserve"> should be drafted. Such a tool, which could also be made available as an off-line application, might </w:t>
      </w:r>
      <w:r w:rsidRPr="00D37413">
        <w:rPr>
          <w:rFonts w:ascii="Calibri" w:hAnsi="Calibri" w:cs="Calibri"/>
          <w:sz w:val="21"/>
          <w:szCs w:val="21"/>
          <w:lang w:val="en-GB"/>
        </w:rPr>
        <w:t>significantly reduce the time, skills and cost required to measure</w:t>
      </w:r>
      <w:r w:rsidRPr="00D37413">
        <w:rPr>
          <w:rFonts w:ascii="Calibri" w:hAnsi="Calibri" w:cs="Calibri"/>
          <w:sz w:val="21"/>
          <w:szCs w:val="21"/>
        </w:rPr>
        <w:t xml:space="preserve"> the </w:t>
      </w:r>
      <w:r w:rsidR="00F93EBC" w:rsidRPr="00D37413">
        <w:rPr>
          <w:rFonts w:ascii="Calibri" w:hAnsi="Calibri" w:cs="Calibri"/>
          <w:sz w:val="21"/>
          <w:szCs w:val="21"/>
        </w:rPr>
        <w:t>GSIs</w:t>
      </w:r>
      <w:r w:rsidRPr="00D37413">
        <w:rPr>
          <w:rFonts w:ascii="Calibri" w:hAnsi="Calibri" w:cs="Calibri"/>
          <w:sz w:val="21"/>
          <w:szCs w:val="21"/>
        </w:rPr>
        <w:t xml:space="preserve">. In particular, this </w:t>
      </w:r>
      <w:r w:rsidRPr="00D37413">
        <w:rPr>
          <w:rFonts w:ascii="Calibri" w:hAnsi="Calibri" w:cs="Calibri"/>
          <w:sz w:val="21"/>
          <w:szCs w:val="21"/>
          <w:lang w:val="en-GB"/>
        </w:rPr>
        <w:t>would allow users to easily enter all data required for the 24 indicators into one single data</w:t>
      </w:r>
      <w:r w:rsidRPr="00D37413">
        <w:rPr>
          <w:rFonts w:ascii="Calibri" w:hAnsi="Calibri" w:cs="Calibri"/>
          <w:sz w:val="21"/>
          <w:szCs w:val="21"/>
        </w:rPr>
        <w:t xml:space="preserve"> </w:t>
      </w:r>
      <w:r w:rsidRPr="00D37413">
        <w:rPr>
          <w:rFonts w:ascii="Calibri" w:hAnsi="Calibri" w:cs="Calibri"/>
          <w:sz w:val="21"/>
          <w:szCs w:val="21"/>
          <w:lang w:val="en-GB"/>
        </w:rPr>
        <w:t>entry sheet and to get a set of results for each indicator based on the related methodologies.</w:t>
      </w:r>
      <w:r w:rsidRPr="00D37413">
        <w:rPr>
          <w:rFonts w:ascii="Calibri" w:hAnsi="Calibri" w:cs="Calibri"/>
          <w:sz w:val="21"/>
          <w:szCs w:val="21"/>
        </w:rPr>
        <w:t xml:space="preserve"> </w:t>
      </w:r>
      <w:r w:rsidRPr="00D37413">
        <w:rPr>
          <w:rFonts w:ascii="Calibri" w:hAnsi="Calibri" w:cs="Calibri"/>
          <w:sz w:val="21"/>
          <w:szCs w:val="21"/>
          <w:lang w:val="en-GB"/>
        </w:rPr>
        <w:t xml:space="preserve">In addition to the aforementioned benefits, an Excel and/or web interface of the </w:t>
      </w:r>
      <w:r w:rsidR="00F93EBC" w:rsidRPr="00D37413">
        <w:rPr>
          <w:rFonts w:ascii="Calibri" w:hAnsi="Calibri" w:cs="Calibri"/>
          <w:sz w:val="21"/>
          <w:szCs w:val="21"/>
          <w:lang w:val="en-GB"/>
        </w:rPr>
        <w:t>GSIs</w:t>
      </w:r>
      <w:r w:rsidRPr="00D37413">
        <w:rPr>
          <w:rFonts w:ascii="Calibri" w:hAnsi="Calibri" w:cs="Calibri"/>
          <w:sz w:val="21"/>
          <w:szCs w:val="21"/>
          <w:lang w:val="en-GB"/>
        </w:rPr>
        <w:t xml:space="preserve"> would also simplify considerably</w:t>
      </w:r>
      <w:r w:rsidRPr="00D37413">
        <w:rPr>
          <w:rFonts w:ascii="Calibri" w:hAnsi="Calibri" w:cs="Calibri"/>
          <w:sz w:val="21"/>
          <w:szCs w:val="21"/>
        </w:rPr>
        <w:t xml:space="preserve"> </w:t>
      </w:r>
      <w:r w:rsidRPr="00D37413">
        <w:rPr>
          <w:rFonts w:ascii="Calibri" w:hAnsi="Calibri" w:cs="Calibri"/>
          <w:sz w:val="21"/>
          <w:szCs w:val="21"/>
          <w:lang w:val="en-GB"/>
        </w:rPr>
        <w:t>the data collection process, and it would allow to easily save and share the results and to</w:t>
      </w:r>
      <w:r w:rsidRPr="00D37413">
        <w:rPr>
          <w:rFonts w:ascii="Calibri" w:hAnsi="Calibri" w:cs="Calibri"/>
          <w:sz w:val="21"/>
          <w:szCs w:val="21"/>
        </w:rPr>
        <w:t xml:space="preserve"> </w:t>
      </w:r>
      <w:r w:rsidRPr="00D37413">
        <w:rPr>
          <w:rFonts w:ascii="Calibri" w:hAnsi="Calibri" w:cs="Calibri"/>
          <w:sz w:val="21"/>
          <w:szCs w:val="21"/>
          <w:lang w:val="en-GB"/>
        </w:rPr>
        <w:t>re-run the tool over time with up-to-date information. T</w:t>
      </w:r>
      <w:r w:rsidRPr="00D37413">
        <w:rPr>
          <w:rFonts w:ascii="Calibri" w:hAnsi="Calibri" w:cs="font359"/>
          <w:sz w:val="21"/>
          <w:szCs w:val="21"/>
          <w:lang w:val="en-GB"/>
        </w:rPr>
        <w:t>he Excel and/or web interface should be easily adaptable to the specific circumstances of each country.</w:t>
      </w:r>
    </w:p>
    <w:p w:rsidR="006039E1" w:rsidRPr="00D37413" w:rsidRDefault="006039E1" w:rsidP="00D37413">
      <w:pPr>
        <w:ind w:right="-184" w:firstLine="360"/>
        <w:jc w:val="both"/>
        <w:rPr>
          <w:b/>
          <w:bCs/>
          <w:sz w:val="21"/>
          <w:szCs w:val="21"/>
        </w:rPr>
      </w:pPr>
      <w:r w:rsidRPr="00D37413">
        <w:rPr>
          <w:rFonts w:ascii="Calibri" w:hAnsi="Calibri" w:cs="Calibri"/>
          <w:sz w:val="21"/>
          <w:szCs w:val="21"/>
          <w:lang w:val="en-GB"/>
        </w:rPr>
        <w:t xml:space="preserve">The </w:t>
      </w:r>
      <w:r w:rsidRPr="00D37413">
        <w:rPr>
          <w:rFonts w:ascii="Calibri" w:hAnsi="Calibri" w:cs="Calibri"/>
          <w:sz w:val="21"/>
          <w:szCs w:val="21"/>
        </w:rPr>
        <w:t xml:space="preserve">GBEP Sustainability Task Force should identify capacity and financing needs and options in order to develop and test such Excel and/or web interface. </w:t>
      </w:r>
    </w:p>
    <w:p w:rsidR="006039E1" w:rsidRPr="00D37413" w:rsidRDefault="006039E1" w:rsidP="00705BF5">
      <w:pPr>
        <w:ind w:right="-184"/>
        <w:rPr>
          <w:b/>
          <w:bCs/>
          <w:sz w:val="21"/>
          <w:szCs w:val="21"/>
        </w:rPr>
      </w:pPr>
    </w:p>
    <w:p w:rsidR="006039E1" w:rsidRPr="00D37413" w:rsidRDefault="006039E1" w:rsidP="00D37413">
      <w:pPr>
        <w:pStyle w:val="NoSpacing1"/>
        <w:numPr>
          <w:ilvl w:val="0"/>
          <w:numId w:val="5"/>
        </w:numPr>
        <w:spacing w:after="60"/>
        <w:ind w:right="-187"/>
        <w:jc w:val="both"/>
        <w:rPr>
          <w:rFonts w:ascii="Calibri" w:hAnsi="Calibri" w:cs="Calibri"/>
          <w:b/>
          <w:bCs/>
          <w:sz w:val="21"/>
          <w:szCs w:val="21"/>
          <w:lang w:val="en-CA" w:eastAsia="en-US"/>
        </w:rPr>
      </w:pPr>
      <w:r w:rsidRPr="00D37413">
        <w:rPr>
          <w:rFonts w:ascii="Calibri" w:hAnsi="Calibri" w:cs="Calibri"/>
          <w:b/>
          <w:bCs/>
          <w:sz w:val="21"/>
          <w:szCs w:val="21"/>
          <w:lang w:val="en-CA" w:eastAsia="en-US"/>
        </w:rPr>
        <w:t>CHAIRMANSHIP AND MEMBERSHIP</w:t>
      </w:r>
    </w:p>
    <w:p w:rsidR="00D37413" w:rsidRPr="00D37413" w:rsidRDefault="006039E1" w:rsidP="00D37413">
      <w:pPr>
        <w:pStyle w:val="NoSpacing1"/>
        <w:spacing w:after="60"/>
        <w:ind w:right="-187" w:firstLine="360"/>
        <w:jc w:val="both"/>
        <w:rPr>
          <w:rFonts w:ascii="Calibri" w:hAnsi="Calibri" w:cs="Calibri"/>
          <w:sz w:val="21"/>
          <w:szCs w:val="21"/>
          <w:lang w:val="en-US" w:eastAsia="en-US"/>
        </w:rPr>
      </w:pPr>
      <w:r w:rsidRPr="00D37413">
        <w:rPr>
          <w:rFonts w:ascii="Calibri" w:hAnsi="Calibri" w:cs="Calibri"/>
          <w:sz w:val="21"/>
          <w:szCs w:val="21"/>
          <w:lang w:val="en-US" w:eastAsia="en-US"/>
        </w:rPr>
        <w:t xml:space="preserve">It is suggested to re-open the Task Force on Sustainability under the leadership of Sweden, as Chair. Chairmanship will be discussed again over a two-year period or before, if need be. Membership in the Task Force is voluntary and is open to all interested GBEP Partners and Observers. </w:t>
      </w:r>
    </w:p>
    <w:p w:rsidR="006039E1" w:rsidRPr="00D37413" w:rsidRDefault="006039E1" w:rsidP="00705BF5">
      <w:pPr>
        <w:pStyle w:val="NoSpacing1"/>
        <w:ind w:right="-184"/>
        <w:jc w:val="both"/>
        <w:rPr>
          <w:rFonts w:ascii="Calibri" w:hAnsi="Calibri" w:cs="Calibri"/>
          <w:b/>
          <w:bCs/>
          <w:sz w:val="21"/>
          <w:szCs w:val="21"/>
          <w:lang w:val="en-CA" w:eastAsia="en-US"/>
        </w:rPr>
      </w:pPr>
    </w:p>
    <w:p w:rsidR="006039E1" w:rsidRPr="00D37413" w:rsidRDefault="006039E1" w:rsidP="00D37413">
      <w:pPr>
        <w:pStyle w:val="NoSpacing1"/>
        <w:numPr>
          <w:ilvl w:val="0"/>
          <w:numId w:val="5"/>
        </w:numPr>
        <w:spacing w:after="60"/>
        <w:ind w:right="-187"/>
        <w:jc w:val="both"/>
        <w:rPr>
          <w:b/>
          <w:bCs/>
          <w:sz w:val="21"/>
          <w:szCs w:val="21"/>
        </w:rPr>
      </w:pPr>
      <w:r w:rsidRPr="00D37413">
        <w:rPr>
          <w:rFonts w:ascii="Calibri" w:hAnsi="Calibri" w:cs="Calibri"/>
          <w:b/>
          <w:bCs/>
          <w:sz w:val="21"/>
          <w:szCs w:val="21"/>
          <w:lang w:val="en-CA" w:eastAsia="en-US"/>
        </w:rPr>
        <w:t>WORKING PRACTICES</w:t>
      </w:r>
    </w:p>
    <w:p w:rsidR="006039E1" w:rsidRPr="00D37413" w:rsidRDefault="006039E1" w:rsidP="00654A04">
      <w:pPr>
        <w:pStyle w:val="NoSpacing1"/>
        <w:tabs>
          <w:tab w:val="left" w:pos="0"/>
        </w:tabs>
        <w:spacing w:after="60"/>
        <w:ind w:right="-187"/>
        <w:jc w:val="both"/>
        <w:rPr>
          <w:rFonts w:ascii="Calibri" w:hAnsi="Calibri" w:cs="Calibri"/>
          <w:sz w:val="21"/>
          <w:szCs w:val="21"/>
          <w:lang w:val="en-US" w:eastAsia="en-US"/>
        </w:rPr>
      </w:pPr>
      <w:r w:rsidRPr="00D37413">
        <w:rPr>
          <w:rFonts w:ascii="Calibri" w:hAnsi="Calibri" w:cs="Calibri"/>
          <w:sz w:val="21"/>
          <w:szCs w:val="21"/>
          <w:lang w:val="en-US"/>
        </w:rPr>
        <w:tab/>
        <w:t xml:space="preserve">The </w:t>
      </w:r>
      <w:r w:rsidRPr="00D37413">
        <w:rPr>
          <w:rFonts w:ascii="Calibri" w:hAnsi="Calibri" w:cs="Calibri"/>
          <w:sz w:val="21"/>
          <w:szCs w:val="21"/>
        </w:rPr>
        <w:t>Task Force</w:t>
      </w:r>
      <w:r w:rsidRPr="00D37413">
        <w:rPr>
          <w:rFonts w:ascii="Calibri" w:hAnsi="Calibri" w:cs="Calibri"/>
          <w:sz w:val="21"/>
          <w:szCs w:val="21"/>
          <w:lang w:val="en-US"/>
        </w:rPr>
        <w:t xml:space="preserve"> will establish its own procedures and will rep</w:t>
      </w:r>
      <w:r w:rsidR="00A51B75">
        <w:rPr>
          <w:rFonts w:ascii="Calibri" w:hAnsi="Calibri" w:cs="Calibri"/>
          <w:sz w:val="21"/>
          <w:szCs w:val="21"/>
          <w:lang w:val="en-US"/>
        </w:rPr>
        <w:t xml:space="preserve">ort to the Steering Committee. </w:t>
      </w:r>
      <w:r w:rsidR="00654A04">
        <w:rPr>
          <w:rFonts w:ascii="Calibri" w:hAnsi="Calibri" w:cs="Calibri"/>
          <w:sz w:val="21"/>
          <w:szCs w:val="21"/>
          <w:lang w:val="en-US"/>
        </w:rPr>
        <w:t>The Task Force</w:t>
      </w:r>
      <w:r w:rsidRPr="00D37413">
        <w:rPr>
          <w:rFonts w:ascii="Calibri" w:hAnsi="Calibri" w:cs="Calibri"/>
          <w:sz w:val="21"/>
          <w:szCs w:val="21"/>
          <w:lang w:val="en-US"/>
        </w:rPr>
        <w:t xml:space="preserve"> will work mainly via e-mails and teleconferences to implement </w:t>
      </w:r>
      <w:r w:rsidR="00654A04">
        <w:rPr>
          <w:rFonts w:ascii="Calibri" w:hAnsi="Calibri" w:cs="Calibri"/>
          <w:sz w:val="21"/>
          <w:szCs w:val="21"/>
          <w:lang w:val="en-US" w:eastAsia="en-US"/>
        </w:rPr>
        <w:t xml:space="preserve">its scope of work. </w:t>
      </w:r>
      <w:r w:rsidRPr="00D37413">
        <w:rPr>
          <w:rFonts w:ascii="Calibri" w:hAnsi="Calibri" w:cs="Calibri"/>
          <w:sz w:val="21"/>
          <w:szCs w:val="21"/>
          <w:lang w:val="en-US" w:eastAsia="en-US"/>
        </w:rPr>
        <w:t xml:space="preserve">In addition, the e-forum will be used to foster an effective exchange of information among TF members. </w:t>
      </w:r>
      <w:r w:rsidRPr="00D37413">
        <w:rPr>
          <w:rFonts w:ascii="Calibri" w:hAnsi="Calibri" w:cs="Calibri"/>
          <w:sz w:val="21"/>
          <w:szCs w:val="21"/>
          <w:lang w:val="en-US"/>
        </w:rPr>
        <w:t>It is anticipated that in-person meetings will be held in conjunction with the GBEP</w:t>
      </w:r>
      <w:r w:rsidRPr="00D37413">
        <w:rPr>
          <w:rFonts w:ascii="Calibri" w:hAnsi="Calibri" w:cs="Calibri"/>
          <w:sz w:val="21"/>
          <w:szCs w:val="21"/>
          <w:lang w:val="en-US" w:eastAsia="en-US"/>
        </w:rPr>
        <w:t xml:space="preserve"> regular</w:t>
      </w:r>
      <w:r w:rsidRPr="00D37413">
        <w:rPr>
          <w:rFonts w:ascii="Calibri" w:hAnsi="Calibri" w:cs="Calibri"/>
          <w:sz w:val="21"/>
          <w:szCs w:val="21"/>
          <w:lang w:val="en-US"/>
        </w:rPr>
        <w:t xml:space="preserve"> meetings</w:t>
      </w:r>
      <w:r w:rsidRPr="00D37413">
        <w:rPr>
          <w:rFonts w:ascii="Calibri" w:hAnsi="Calibri" w:cs="Calibri"/>
          <w:sz w:val="21"/>
          <w:szCs w:val="21"/>
          <w:lang w:val="en-US" w:eastAsia="en-US"/>
        </w:rPr>
        <w:t xml:space="preserve"> (November/December each year) </w:t>
      </w:r>
      <w:r w:rsidRPr="00D37413">
        <w:rPr>
          <w:rFonts w:ascii="Calibri" w:hAnsi="Calibri" w:cs="Calibri"/>
          <w:sz w:val="21"/>
          <w:szCs w:val="21"/>
          <w:lang w:val="en-US"/>
        </w:rPr>
        <w:t xml:space="preserve">and that </w:t>
      </w:r>
      <w:r w:rsidRPr="00D37413">
        <w:rPr>
          <w:rFonts w:ascii="Calibri" w:hAnsi="Calibri" w:cs="Calibri"/>
          <w:sz w:val="21"/>
          <w:szCs w:val="21"/>
          <w:lang w:val="en-US" w:eastAsia="en-US"/>
        </w:rPr>
        <w:t>additional workshops</w:t>
      </w:r>
      <w:r w:rsidRPr="00D37413">
        <w:rPr>
          <w:rFonts w:ascii="Calibri" w:hAnsi="Calibri" w:cs="Calibri"/>
          <w:sz w:val="21"/>
          <w:szCs w:val="21"/>
          <w:lang w:val="en-US"/>
        </w:rPr>
        <w:t xml:space="preserve"> may be organized</w:t>
      </w:r>
      <w:r w:rsidRPr="00D37413">
        <w:rPr>
          <w:rFonts w:ascii="Calibri" w:hAnsi="Calibri" w:cs="Calibri"/>
          <w:sz w:val="21"/>
          <w:szCs w:val="21"/>
          <w:lang w:val="en-US" w:eastAsia="en-US"/>
        </w:rPr>
        <w:t xml:space="preserve"> if needed, subject to availability of funds and/or of a hosting Partner/Observer. </w:t>
      </w:r>
    </w:p>
    <w:p w:rsidR="006039E1" w:rsidRPr="00D37413" w:rsidRDefault="006039E1" w:rsidP="00705BF5">
      <w:pPr>
        <w:pStyle w:val="NoSpacing1"/>
        <w:tabs>
          <w:tab w:val="left" w:pos="0"/>
        </w:tabs>
        <w:ind w:right="-184"/>
        <w:jc w:val="both"/>
        <w:rPr>
          <w:sz w:val="21"/>
          <w:szCs w:val="21"/>
        </w:rPr>
      </w:pPr>
      <w:r w:rsidRPr="00D37413">
        <w:rPr>
          <w:rFonts w:ascii="Calibri" w:hAnsi="Calibri" w:cs="Calibri"/>
          <w:sz w:val="21"/>
          <w:szCs w:val="21"/>
          <w:lang w:val="en-US" w:eastAsia="en-US"/>
        </w:rPr>
        <w:tab/>
        <w:t xml:space="preserve">The Task Force will build on past and ongoing work developed by GBEP </w:t>
      </w:r>
      <w:r w:rsidR="00F93EBC" w:rsidRPr="00D37413">
        <w:rPr>
          <w:rFonts w:ascii="Calibri" w:hAnsi="Calibri" w:cs="Calibri"/>
          <w:sz w:val="21"/>
          <w:szCs w:val="21"/>
          <w:lang w:val="en-US" w:eastAsia="en-US"/>
        </w:rPr>
        <w:t xml:space="preserve">and others </w:t>
      </w:r>
      <w:r w:rsidRPr="00D37413">
        <w:rPr>
          <w:rFonts w:ascii="Calibri" w:hAnsi="Calibri" w:cs="Calibri"/>
          <w:sz w:val="21"/>
          <w:szCs w:val="21"/>
          <w:lang w:val="en-US" w:eastAsia="en-US"/>
        </w:rPr>
        <w:t xml:space="preserve">on bioenergy sustainability.  </w:t>
      </w:r>
    </w:p>
    <w:p w:rsidR="005B514D" w:rsidRDefault="00C45255" w:rsidP="00705BF5">
      <w:pPr>
        <w:pStyle w:val="NoSpacing"/>
        <w:tabs>
          <w:tab w:val="left" w:pos="0"/>
        </w:tabs>
        <w:ind w:right="-184"/>
        <w:jc w:val="both"/>
        <w:rPr>
          <w:rFonts w:asciiTheme="minorHAnsi" w:hAnsiTheme="minorHAnsi"/>
          <w:sz w:val="22"/>
          <w:szCs w:val="22"/>
          <w:lang w:val="en-US" w:eastAsia="en-US"/>
        </w:rPr>
      </w:pPr>
      <w:r>
        <w:rPr>
          <w:rFonts w:asciiTheme="minorHAnsi" w:hAnsiTheme="minorHAnsi"/>
          <w:sz w:val="22"/>
          <w:szCs w:val="22"/>
          <w:lang w:val="en-US" w:eastAsia="en-US"/>
        </w:rPr>
        <w:t xml:space="preserve"> </w:t>
      </w:r>
    </w:p>
    <w:p w:rsidR="00C45255" w:rsidRPr="00C45255" w:rsidRDefault="00C45255" w:rsidP="00C45255">
      <w:pPr>
        <w:pStyle w:val="NoSpacing"/>
        <w:tabs>
          <w:tab w:val="left" w:pos="0"/>
        </w:tabs>
        <w:jc w:val="both"/>
        <w:rPr>
          <w:sz w:val="22"/>
          <w:szCs w:val="22"/>
        </w:rPr>
        <w:sectPr w:rsidR="00C45255" w:rsidRPr="00C45255" w:rsidSect="008A78BC">
          <w:footerReference w:type="even" r:id="rId9"/>
          <w:footerReference w:type="default" r:id="rId10"/>
          <w:headerReference w:type="first" r:id="rId11"/>
          <w:footerReference w:type="first" r:id="rId12"/>
          <w:pgSz w:w="11907" w:h="16839" w:code="9"/>
          <w:pgMar w:top="1276" w:right="1417" w:bottom="992" w:left="1134" w:header="1077" w:footer="720" w:gutter="0"/>
          <w:cols w:space="720"/>
          <w:titlePg/>
          <w:docGrid w:linePitch="360"/>
        </w:sectPr>
      </w:pPr>
      <w:bookmarkStart w:id="1" w:name="_GoBack"/>
      <w:bookmarkEnd w:id="1"/>
    </w:p>
    <w:p w:rsidR="00140CF6" w:rsidRDefault="00140CF6" w:rsidP="00C344EF">
      <w:pPr>
        <w:jc w:val="center"/>
        <w:rPr>
          <w:b/>
          <w:bCs/>
        </w:rPr>
      </w:pPr>
    </w:p>
    <w:p w:rsidR="00D76F5B" w:rsidRDefault="00D76F5B" w:rsidP="00C344EF">
      <w:pPr>
        <w:jc w:val="center"/>
        <w:rPr>
          <w:b/>
          <w:bCs/>
        </w:rPr>
      </w:pPr>
      <w:r>
        <w:rPr>
          <w:b/>
          <w:bCs/>
        </w:rPr>
        <w:t>Annex I</w:t>
      </w:r>
    </w:p>
    <w:p w:rsidR="00D76F5B" w:rsidRDefault="00D76F5B" w:rsidP="00C45255">
      <w:pPr>
        <w:jc w:val="right"/>
        <w:rPr>
          <w:b/>
          <w:bCs/>
        </w:rPr>
      </w:pPr>
    </w:p>
    <w:p w:rsidR="0096449C" w:rsidRPr="00607961" w:rsidRDefault="0096449C" w:rsidP="0096449C">
      <w:pPr>
        <w:jc w:val="center"/>
        <w:rPr>
          <w:b/>
          <w:bCs/>
        </w:rPr>
      </w:pPr>
      <w:r w:rsidRPr="00607961">
        <w:rPr>
          <w:b/>
          <w:bCs/>
        </w:rPr>
        <w:t>GBEP SUSTAINABILITY INDICATORS FOR BIOENERGY</w:t>
      </w:r>
      <w:r>
        <w:rPr>
          <w:b/>
          <w:bCs/>
        </w:rPr>
        <w:t>:</w:t>
      </w:r>
    </w:p>
    <w:p w:rsidR="0096449C" w:rsidRPr="00607961" w:rsidRDefault="0096449C" w:rsidP="0096449C">
      <w:pPr>
        <w:jc w:val="center"/>
        <w:rPr>
          <w:b/>
          <w:bCs/>
        </w:rPr>
      </w:pPr>
      <w:r w:rsidRPr="00607961">
        <w:rPr>
          <w:b/>
          <w:bCs/>
        </w:rPr>
        <w:t xml:space="preserve">LESSONS </w:t>
      </w:r>
      <w:r w:rsidR="00F93EBC">
        <w:rPr>
          <w:b/>
          <w:bCs/>
        </w:rPr>
        <w:t>LEARNED</w:t>
      </w:r>
      <w:r w:rsidRPr="00607961">
        <w:rPr>
          <w:b/>
          <w:bCs/>
        </w:rPr>
        <w:t xml:space="preserve"> </w:t>
      </w:r>
      <w:r>
        <w:rPr>
          <w:b/>
          <w:bCs/>
        </w:rPr>
        <w:t>AND RECOMMENDATIONS EMERGING</w:t>
      </w:r>
      <w:r w:rsidRPr="00607961">
        <w:rPr>
          <w:b/>
          <w:bCs/>
        </w:rPr>
        <w:t xml:space="preserve"> FROM TESTING/IMPLEMENTATION</w:t>
      </w:r>
    </w:p>
    <w:p w:rsidR="0096449C" w:rsidRPr="00607961" w:rsidRDefault="0096449C" w:rsidP="0096449C">
      <w:pPr>
        <w:jc w:val="center"/>
        <w:rPr>
          <w:b/>
          <w:bCs/>
          <w:sz w:val="20"/>
          <w:szCs w:val="20"/>
        </w:rPr>
      </w:pPr>
    </w:p>
    <w:p w:rsidR="0096449C" w:rsidRDefault="0096449C" w:rsidP="0096449C">
      <w:pPr>
        <w:ind w:firstLine="360"/>
        <w:jc w:val="both"/>
        <w:rPr>
          <w:b/>
          <w:bCs/>
          <w:sz w:val="22"/>
          <w:szCs w:val="22"/>
        </w:rPr>
      </w:pPr>
    </w:p>
    <w:p w:rsidR="0096449C" w:rsidRDefault="0096449C" w:rsidP="0096449C">
      <w:pPr>
        <w:ind w:firstLine="360"/>
        <w:jc w:val="both"/>
        <w:rPr>
          <w:b/>
          <w:bCs/>
          <w:sz w:val="22"/>
          <w:szCs w:val="22"/>
        </w:rPr>
      </w:pPr>
      <w:r w:rsidRPr="00607961">
        <w:rPr>
          <w:b/>
          <w:bCs/>
          <w:sz w:val="22"/>
          <w:szCs w:val="22"/>
        </w:rPr>
        <w:t>CROSS-CUTTING</w:t>
      </w:r>
    </w:p>
    <w:p w:rsidR="0096449C" w:rsidRPr="003C0120" w:rsidRDefault="0096449C" w:rsidP="0096449C">
      <w:pPr>
        <w:ind w:firstLine="360"/>
        <w:jc w:val="both"/>
        <w:rPr>
          <w:b/>
          <w:bCs/>
          <w:sz w:val="8"/>
          <w:szCs w:val="8"/>
        </w:rPr>
      </w:pPr>
    </w:p>
    <w:p w:rsidR="0096449C" w:rsidRDefault="0096449C" w:rsidP="0096449C">
      <w:pPr>
        <w:ind w:firstLine="360"/>
        <w:jc w:val="both"/>
        <w:rPr>
          <w:rFonts w:asciiTheme="minorHAnsi" w:hAnsiTheme="minorHAnsi"/>
          <w:b/>
          <w:bCs/>
          <w:sz w:val="22"/>
          <w:szCs w:val="22"/>
          <w:u w:val="single"/>
        </w:rPr>
      </w:pPr>
    </w:p>
    <w:p w:rsidR="0096449C" w:rsidRDefault="0096449C" w:rsidP="0096449C">
      <w:pPr>
        <w:ind w:firstLine="360"/>
        <w:jc w:val="both"/>
        <w:rPr>
          <w:rFonts w:asciiTheme="minorHAnsi" w:hAnsiTheme="minorHAnsi"/>
          <w:b/>
          <w:bCs/>
          <w:sz w:val="22"/>
          <w:szCs w:val="22"/>
          <w:u w:val="single"/>
        </w:rPr>
      </w:pPr>
      <w:r w:rsidRPr="00DE6DCF">
        <w:rPr>
          <w:rFonts w:asciiTheme="minorHAnsi" w:hAnsiTheme="minorHAnsi"/>
          <w:b/>
          <w:bCs/>
          <w:sz w:val="22"/>
          <w:szCs w:val="22"/>
          <w:u w:val="single"/>
        </w:rPr>
        <w:t>INTEGRATION OF DEFINITIONS AND METHODOLOGIES</w:t>
      </w:r>
    </w:p>
    <w:p w:rsidR="0096449C" w:rsidRPr="00607961" w:rsidRDefault="0096449C" w:rsidP="0096449C">
      <w:pPr>
        <w:ind w:firstLine="360"/>
        <w:jc w:val="both"/>
        <w:rPr>
          <w:rFonts w:asciiTheme="minorHAnsi" w:hAnsiTheme="minorHAnsi"/>
          <w:sz w:val="8"/>
          <w:szCs w:val="8"/>
          <w:u w:val="single"/>
        </w:rPr>
      </w:pPr>
    </w:p>
    <w:p w:rsidR="0096449C" w:rsidRPr="00607961" w:rsidRDefault="0096449C" w:rsidP="006039E1">
      <w:pPr>
        <w:pStyle w:val="ListParagraph"/>
        <w:numPr>
          <w:ilvl w:val="0"/>
          <w:numId w:val="2"/>
        </w:numPr>
        <w:spacing w:after="0" w:line="240" w:lineRule="auto"/>
        <w:jc w:val="both"/>
        <w:rPr>
          <w:rFonts w:asciiTheme="minorHAnsi" w:hAnsiTheme="minorHAnsi"/>
        </w:rPr>
      </w:pPr>
      <w:r w:rsidRPr="00607961">
        <w:rPr>
          <w:rFonts w:asciiTheme="minorHAnsi" w:hAnsiTheme="minorHAnsi"/>
        </w:rPr>
        <w:t xml:space="preserve">A </w:t>
      </w:r>
      <w:r w:rsidRPr="00607961">
        <w:rPr>
          <w:rFonts w:asciiTheme="minorHAnsi" w:hAnsiTheme="minorHAnsi"/>
          <w:b/>
          <w:bCs/>
        </w:rPr>
        <w:t>more clear definition and demarcation of traditional versus modern bioenergy</w:t>
      </w:r>
      <w:r w:rsidRPr="00607961">
        <w:rPr>
          <w:rFonts w:asciiTheme="minorHAnsi" w:hAnsiTheme="minorHAnsi"/>
        </w:rPr>
        <w:t xml:space="preserve"> should be developed and illustrated with concrete, detailed examples.</w:t>
      </w:r>
    </w:p>
    <w:p w:rsidR="0096449C" w:rsidRPr="00DE6DCF" w:rsidRDefault="0096449C" w:rsidP="0096449C">
      <w:pPr>
        <w:rPr>
          <w:rFonts w:asciiTheme="minorHAnsi" w:hAnsiTheme="minorHAnsi"/>
          <w:sz w:val="8"/>
          <w:szCs w:val="8"/>
        </w:rPr>
      </w:pPr>
    </w:p>
    <w:p w:rsidR="0096449C" w:rsidRPr="00B43371" w:rsidRDefault="0096449C" w:rsidP="006039E1">
      <w:pPr>
        <w:pStyle w:val="ListParagraph"/>
        <w:numPr>
          <w:ilvl w:val="0"/>
          <w:numId w:val="2"/>
        </w:numPr>
        <w:spacing w:after="0" w:line="240" w:lineRule="auto"/>
        <w:jc w:val="both"/>
        <w:rPr>
          <w:rFonts w:asciiTheme="minorHAnsi" w:hAnsiTheme="minorHAnsi"/>
          <w:b/>
          <w:bCs/>
        </w:rPr>
      </w:pPr>
      <w:r w:rsidRPr="00607961">
        <w:rPr>
          <w:rFonts w:asciiTheme="minorHAnsi" w:hAnsiTheme="minorHAnsi"/>
        </w:rPr>
        <w:t xml:space="preserve">Further </w:t>
      </w:r>
      <w:r w:rsidRPr="00DE6DCF">
        <w:rPr>
          <w:rFonts w:asciiTheme="minorHAnsi" w:hAnsiTheme="minorHAnsi"/>
          <w:b/>
          <w:bCs/>
        </w:rPr>
        <w:t>guidance</w:t>
      </w:r>
      <w:r w:rsidRPr="00607961">
        <w:rPr>
          <w:rFonts w:asciiTheme="minorHAnsi" w:hAnsiTheme="minorHAnsi"/>
        </w:rPr>
        <w:t xml:space="preserve"> </w:t>
      </w:r>
      <w:r>
        <w:rPr>
          <w:rFonts w:asciiTheme="minorHAnsi" w:hAnsiTheme="minorHAnsi"/>
        </w:rPr>
        <w:t xml:space="preserve">would be needed </w:t>
      </w:r>
      <w:r w:rsidRPr="00607961">
        <w:rPr>
          <w:rFonts w:asciiTheme="minorHAnsi" w:hAnsiTheme="minorHAnsi"/>
        </w:rPr>
        <w:t xml:space="preserve">on the complex and crucial issue of the </w:t>
      </w:r>
      <w:r w:rsidRPr="00607961">
        <w:rPr>
          <w:rFonts w:asciiTheme="minorHAnsi" w:hAnsiTheme="minorHAnsi"/>
          <w:b/>
          <w:bCs/>
        </w:rPr>
        <w:t>attribution of impacts to bioenergy production and use</w:t>
      </w:r>
      <w:r w:rsidRPr="00607961">
        <w:rPr>
          <w:rFonts w:asciiTheme="minorHAnsi" w:hAnsiTheme="minorHAnsi"/>
        </w:rPr>
        <w:t>. For each indicator, a range of suitable approaches for attribution could be identified and illustrated in detail providing specific examples, and the pros and cons of using one approach versus another should be discussed.</w:t>
      </w:r>
    </w:p>
    <w:p w:rsidR="0096449C" w:rsidRPr="00B43371" w:rsidRDefault="0096449C" w:rsidP="0096449C">
      <w:pPr>
        <w:jc w:val="both"/>
        <w:rPr>
          <w:rFonts w:asciiTheme="minorHAnsi" w:hAnsiTheme="minorHAnsi"/>
          <w:b/>
          <w:bCs/>
          <w:sz w:val="8"/>
          <w:szCs w:val="8"/>
        </w:rPr>
      </w:pPr>
    </w:p>
    <w:p w:rsidR="0096449C" w:rsidRPr="00DE6DCF" w:rsidRDefault="0096449C" w:rsidP="006039E1">
      <w:pPr>
        <w:pStyle w:val="ListParagraph"/>
        <w:numPr>
          <w:ilvl w:val="0"/>
          <w:numId w:val="2"/>
        </w:numPr>
        <w:autoSpaceDE w:val="0"/>
        <w:autoSpaceDN w:val="0"/>
        <w:adjustRightInd w:val="0"/>
        <w:spacing w:after="0" w:line="240" w:lineRule="auto"/>
        <w:jc w:val="both"/>
        <w:rPr>
          <w:rFonts w:asciiTheme="minorHAnsi" w:eastAsiaTheme="majorEastAsia" w:hAnsiTheme="minorHAnsi" w:cs="Tahoma"/>
          <w:color w:val="000000"/>
        </w:rPr>
      </w:pPr>
      <w:r w:rsidRPr="003C0120">
        <w:rPr>
          <w:rFonts w:asciiTheme="minorHAnsi" w:eastAsiaTheme="majorEastAsia" w:hAnsiTheme="minorHAnsi" w:cs="Tahoma"/>
          <w:color w:val="000000"/>
        </w:rPr>
        <w:t xml:space="preserve">When indicators cannot be measured due to lack of data, skills and/or resources, and when appropriate as a complement to the measurement of the current quantitative indicators, the </w:t>
      </w:r>
      <w:r w:rsidRPr="003C0120">
        <w:rPr>
          <w:rFonts w:asciiTheme="minorHAnsi" w:eastAsiaTheme="majorEastAsia" w:hAnsiTheme="minorHAnsi" w:cs="Tahoma"/>
          <w:b/>
          <w:bCs/>
          <w:color w:val="000000"/>
        </w:rPr>
        <w:t>implementation of relevant good practices</w:t>
      </w:r>
      <w:r w:rsidRPr="003C0120">
        <w:rPr>
          <w:rFonts w:asciiTheme="minorHAnsi" w:eastAsiaTheme="majorEastAsia" w:hAnsiTheme="minorHAnsi" w:cs="Tahoma"/>
          <w:color w:val="000000"/>
        </w:rPr>
        <w:t xml:space="preserve"> in bioenergy production and use could be </w:t>
      </w:r>
      <w:r w:rsidRPr="00DE6DCF">
        <w:rPr>
          <w:rFonts w:asciiTheme="minorHAnsi" w:eastAsiaTheme="majorEastAsia" w:hAnsiTheme="minorHAnsi" w:cs="Tahoma"/>
          <w:color w:val="000000"/>
        </w:rPr>
        <w:t>assessed</w:t>
      </w:r>
      <w:r w:rsidRPr="003C0120">
        <w:rPr>
          <w:rFonts w:asciiTheme="minorHAnsi" w:eastAsiaTheme="majorEastAsia" w:hAnsiTheme="minorHAnsi" w:cs="Tahoma"/>
          <w:color w:val="000000"/>
        </w:rPr>
        <w:t>, including regarding their coverage  and (if possible) their quality.</w:t>
      </w:r>
    </w:p>
    <w:p w:rsidR="0096449C" w:rsidRDefault="0096449C" w:rsidP="0096449C">
      <w:pPr>
        <w:ind w:left="360"/>
        <w:jc w:val="both"/>
        <w:rPr>
          <w:rFonts w:asciiTheme="minorHAnsi" w:hAnsiTheme="minorHAnsi"/>
          <w:sz w:val="22"/>
          <w:szCs w:val="22"/>
          <w:u w:val="single"/>
        </w:rPr>
      </w:pPr>
    </w:p>
    <w:p w:rsidR="0096449C" w:rsidRPr="00DE6DCF" w:rsidRDefault="0096449C" w:rsidP="0096449C">
      <w:pPr>
        <w:ind w:left="360"/>
        <w:jc w:val="both"/>
        <w:rPr>
          <w:rFonts w:asciiTheme="minorHAnsi" w:hAnsiTheme="minorHAnsi"/>
          <w:b/>
          <w:bCs/>
          <w:sz w:val="22"/>
          <w:szCs w:val="22"/>
          <w:u w:val="single"/>
        </w:rPr>
      </w:pPr>
      <w:r w:rsidRPr="00DE6DCF">
        <w:rPr>
          <w:rFonts w:asciiTheme="minorHAnsi" w:hAnsiTheme="minorHAnsi"/>
          <w:b/>
          <w:bCs/>
          <w:sz w:val="22"/>
          <w:szCs w:val="22"/>
          <w:u w:val="single"/>
        </w:rPr>
        <w:t>ENSURING AN EFFECTIVE IMPLEMENTATION OF THE INDICATORS</w:t>
      </w:r>
    </w:p>
    <w:p w:rsidR="0096449C" w:rsidRPr="00607961" w:rsidRDefault="0096449C" w:rsidP="0096449C">
      <w:pPr>
        <w:ind w:left="360"/>
        <w:jc w:val="both"/>
        <w:rPr>
          <w:rFonts w:asciiTheme="minorHAnsi" w:hAnsiTheme="minorHAnsi"/>
          <w:sz w:val="8"/>
          <w:szCs w:val="8"/>
          <w:u w:val="single"/>
        </w:rPr>
      </w:pPr>
    </w:p>
    <w:p w:rsidR="0096449C" w:rsidRPr="00607961" w:rsidRDefault="0096449C" w:rsidP="006039E1">
      <w:pPr>
        <w:pStyle w:val="ListParagraph"/>
        <w:numPr>
          <w:ilvl w:val="0"/>
          <w:numId w:val="2"/>
        </w:numPr>
        <w:jc w:val="both"/>
        <w:rPr>
          <w:rFonts w:asciiTheme="minorHAnsi" w:hAnsiTheme="minorHAnsi"/>
        </w:rPr>
      </w:pPr>
      <w:r w:rsidRPr="00607961">
        <w:rPr>
          <w:rFonts w:asciiTheme="minorHAnsi" w:hAnsiTheme="minorHAnsi"/>
        </w:rPr>
        <w:t xml:space="preserve">A </w:t>
      </w:r>
      <w:r w:rsidRPr="00607961">
        <w:rPr>
          <w:rFonts w:asciiTheme="minorHAnsi" w:hAnsiTheme="minorHAnsi"/>
          <w:b/>
          <w:bCs/>
        </w:rPr>
        <w:t>multidisciplinary team of experts</w:t>
      </w:r>
      <w:r w:rsidRPr="00607961">
        <w:rPr>
          <w:rFonts w:asciiTheme="minorHAnsi" w:hAnsiTheme="minorHAnsi"/>
        </w:rPr>
        <w:t xml:space="preserve"> with an in-depth knowledge of the national context and of the domestic bioenergy sector is needed in order to </w:t>
      </w:r>
      <w:r>
        <w:rPr>
          <w:rFonts w:asciiTheme="minorHAnsi" w:hAnsiTheme="minorHAnsi"/>
        </w:rPr>
        <w:t>implement</w:t>
      </w:r>
      <w:r w:rsidRPr="00607961">
        <w:rPr>
          <w:rFonts w:asciiTheme="minorHAnsi" w:hAnsiTheme="minorHAnsi"/>
        </w:rPr>
        <w:t xml:space="preserve"> the GBEP indicators and analyse the results.</w:t>
      </w:r>
    </w:p>
    <w:p w:rsidR="0096449C" w:rsidRPr="00607961" w:rsidRDefault="0096449C" w:rsidP="0096449C">
      <w:pPr>
        <w:pStyle w:val="ListParagraph"/>
        <w:jc w:val="both"/>
        <w:rPr>
          <w:rFonts w:asciiTheme="minorHAnsi" w:hAnsiTheme="minorHAnsi"/>
          <w:sz w:val="8"/>
          <w:szCs w:val="8"/>
        </w:rPr>
      </w:pPr>
    </w:p>
    <w:p w:rsidR="0096449C" w:rsidRDefault="0096449C" w:rsidP="006039E1">
      <w:pPr>
        <w:pStyle w:val="ListParagraph"/>
        <w:numPr>
          <w:ilvl w:val="0"/>
          <w:numId w:val="2"/>
        </w:numPr>
        <w:autoSpaceDE w:val="0"/>
        <w:autoSpaceDN w:val="0"/>
        <w:adjustRightInd w:val="0"/>
        <w:spacing w:after="0" w:line="240" w:lineRule="auto"/>
        <w:jc w:val="both"/>
        <w:rPr>
          <w:rFonts w:asciiTheme="minorHAnsi" w:hAnsiTheme="minorHAnsi"/>
        </w:rPr>
      </w:pPr>
      <w:r w:rsidRPr="00607961">
        <w:rPr>
          <w:rFonts w:asciiTheme="minorHAnsi" w:hAnsiTheme="minorHAnsi"/>
        </w:rPr>
        <w:t xml:space="preserve">A proactive </w:t>
      </w:r>
      <w:r w:rsidRPr="00607961">
        <w:rPr>
          <w:rFonts w:asciiTheme="minorHAnsi" w:hAnsiTheme="minorHAnsi"/>
          <w:b/>
          <w:bCs/>
        </w:rPr>
        <w:t>engagement of all relevant stakeholders</w:t>
      </w:r>
      <w:r w:rsidRPr="00607961">
        <w:rPr>
          <w:rFonts w:asciiTheme="minorHAnsi" w:hAnsiTheme="minorHAnsi"/>
        </w:rPr>
        <w:t xml:space="preserve"> including government agencies, private sector organizations and civil society organizations is </w:t>
      </w:r>
      <w:proofErr w:type="gramStart"/>
      <w:r w:rsidRPr="00607961">
        <w:rPr>
          <w:rFonts w:asciiTheme="minorHAnsi" w:hAnsiTheme="minorHAnsi"/>
        </w:rPr>
        <w:t>key</w:t>
      </w:r>
      <w:proofErr w:type="gramEnd"/>
      <w:r w:rsidRPr="00607961">
        <w:rPr>
          <w:rFonts w:asciiTheme="minorHAnsi" w:hAnsiTheme="minorHAnsi"/>
        </w:rPr>
        <w:t xml:space="preserve"> to the effective </w:t>
      </w:r>
      <w:r>
        <w:rPr>
          <w:rFonts w:asciiTheme="minorHAnsi" w:hAnsiTheme="minorHAnsi"/>
        </w:rPr>
        <w:t>implementation</w:t>
      </w:r>
      <w:r w:rsidRPr="00607961">
        <w:rPr>
          <w:rFonts w:asciiTheme="minorHAnsi" w:hAnsiTheme="minorHAnsi"/>
        </w:rPr>
        <w:t xml:space="preserve"> of the indicators and to a proper interpretation and use of the results.</w:t>
      </w:r>
    </w:p>
    <w:p w:rsidR="0096449C" w:rsidRPr="00D73EBD" w:rsidRDefault="0096449C" w:rsidP="0096449C">
      <w:pPr>
        <w:autoSpaceDE w:val="0"/>
        <w:autoSpaceDN w:val="0"/>
        <w:adjustRightInd w:val="0"/>
        <w:jc w:val="both"/>
        <w:rPr>
          <w:rFonts w:asciiTheme="minorHAnsi" w:hAnsiTheme="minorHAnsi"/>
          <w:sz w:val="8"/>
          <w:szCs w:val="8"/>
        </w:rPr>
      </w:pPr>
    </w:p>
    <w:p w:rsidR="0096449C" w:rsidRPr="00D73EBD" w:rsidRDefault="0096449C" w:rsidP="006039E1">
      <w:pPr>
        <w:pStyle w:val="ListParagraph"/>
        <w:numPr>
          <w:ilvl w:val="0"/>
          <w:numId w:val="2"/>
        </w:numPr>
        <w:rPr>
          <w:rFonts w:asciiTheme="minorHAnsi" w:hAnsiTheme="minorHAnsi"/>
        </w:rPr>
      </w:pPr>
      <w:r w:rsidRPr="00D73EBD">
        <w:rPr>
          <w:rFonts w:asciiTheme="minorHAnsi" w:hAnsiTheme="minorHAnsi"/>
        </w:rPr>
        <w:t xml:space="preserve">Where possible, </w:t>
      </w:r>
      <w:r w:rsidRPr="00D73EBD">
        <w:rPr>
          <w:rFonts w:asciiTheme="minorHAnsi" w:hAnsiTheme="minorHAnsi"/>
          <w:b/>
          <w:bCs/>
        </w:rPr>
        <w:t>empirical information</w:t>
      </w:r>
      <w:r w:rsidRPr="00D73EBD">
        <w:rPr>
          <w:rFonts w:asciiTheme="minorHAnsi" w:hAnsiTheme="minorHAnsi"/>
        </w:rPr>
        <w:t xml:space="preserve"> is preferred to model estimates. In any cases, </w:t>
      </w:r>
      <w:r w:rsidRPr="00D73EBD">
        <w:rPr>
          <w:rFonts w:asciiTheme="minorHAnsi" w:hAnsiTheme="minorHAnsi"/>
          <w:b/>
          <w:bCs/>
        </w:rPr>
        <w:t>assumptions</w:t>
      </w:r>
      <w:r w:rsidRPr="00D73EBD">
        <w:rPr>
          <w:rFonts w:asciiTheme="minorHAnsi" w:hAnsiTheme="minorHAnsi"/>
        </w:rPr>
        <w:t xml:space="preserve"> about the data and underlying conditions need to be made clear.</w:t>
      </w:r>
    </w:p>
    <w:p w:rsidR="0096449C" w:rsidRDefault="0096449C" w:rsidP="006039E1">
      <w:pPr>
        <w:pStyle w:val="ListParagraph"/>
        <w:numPr>
          <w:ilvl w:val="0"/>
          <w:numId w:val="2"/>
        </w:numPr>
        <w:spacing w:after="0" w:line="240" w:lineRule="auto"/>
        <w:jc w:val="both"/>
        <w:rPr>
          <w:rFonts w:asciiTheme="minorHAnsi" w:hAnsiTheme="minorHAnsi"/>
        </w:rPr>
      </w:pPr>
      <w:r w:rsidRPr="004675D2">
        <w:rPr>
          <w:rFonts w:asciiTheme="minorHAnsi" w:hAnsiTheme="minorHAnsi"/>
        </w:rPr>
        <w:t xml:space="preserve">Because there is </w:t>
      </w:r>
      <w:r w:rsidRPr="00D73EBD">
        <w:rPr>
          <w:rFonts w:asciiTheme="minorHAnsi" w:hAnsiTheme="minorHAnsi"/>
        </w:rPr>
        <w:t>much spatial variability</w:t>
      </w:r>
      <w:r w:rsidRPr="004675D2">
        <w:rPr>
          <w:rFonts w:asciiTheme="minorHAnsi" w:hAnsiTheme="minorHAnsi"/>
        </w:rPr>
        <w:t xml:space="preserve"> in the indicator values, the </w:t>
      </w:r>
      <w:r w:rsidRPr="00D73EBD">
        <w:rPr>
          <w:rFonts w:asciiTheme="minorHAnsi" w:hAnsiTheme="minorHAnsi"/>
          <w:b/>
          <w:bCs/>
        </w:rPr>
        <w:t>spatial extent of the assessment</w:t>
      </w:r>
      <w:r w:rsidRPr="004675D2">
        <w:rPr>
          <w:rFonts w:asciiTheme="minorHAnsi" w:hAnsiTheme="minorHAnsi"/>
        </w:rPr>
        <w:t xml:space="preserve"> need</w:t>
      </w:r>
      <w:r>
        <w:rPr>
          <w:rFonts w:asciiTheme="minorHAnsi" w:hAnsiTheme="minorHAnsi"/>
        </w:rPr>
        <w:t>s</w:t>
      </w:r>
      <w:r w:rsidRPr="004675D2">
        <w:rPr>
          <w:rFonts w:asciiTheme="minorHAnsi" w:hAnsiTheme="minorHAnsi"/>
        </w:rPr>
        <w:t xml:space="preserve"> to be carefully defined, and care needs to be taken in extrapolating site-level information to national-level indicators.</w:t>
      </w:r>
    </w:p>
    <w:p w:rsidR="0096449C" w:rsidRDefault="0096449C" w:rsidP="0096449C">
      <w:pPr>
        <w:ind w:firstLine="360"/>
        <w:jc w:val="both"/>
        <w:rPr>
          <w:rFonts w:asciiTheme="minorHAnsi" w:hAnsiTheme="minorHAnsi"/>
          <w:u w:val="single"/>
          <w:lang w:val="en-CA"/>
        </w:rPr>
      </w:pPr>
    </w:p>
    <w:p w:rsidR="00140CF6" w:rsidRDefault="00140CF6" w:rsidP="0096449C">
      <w:pPr>
        <w:ind w:firstLine="360"/>
        <w:jc w:val="both"/>
        <w:rPr>
          <w:rFonts w:asciiTheme="minorHAnsi" w:hAnsiTheme="minorHAnsi"/>
          <w:u w:val="single"/>
          <w:lang w:val="en-CA"/>
        </w:rPr>
      </w:pPr>
    </w:p>
    <w:p w:rsidR="00140CF6" w:rsidRDefault="00140CF6" w:rsidP="0096449C">
      <w:pPr>
        <w:ind w:firstLine="360"/>
        <w:jc w:val="both"/>
        <w:rPr>
          <w:rFonts w:asciiTheme="minorHAnsi" w:hAnsiTheme="minorHAnsi"/>
          <w:u w:val="single"/>
          <w:lang w:val="en-CA"/>
        </w:rPr>
      </w:pPr>
    </w:p>
    <w:p w:rsidR="00140CF6" w:rsidRPr="00DE6DCF" w:rsidRDefault="00140CF6" w:rsidP="0096449C">
      <w:pPr>
        <w:ind w:firstLine="360"/>
        <w:jc w:val="both"/>
        <w:rPr>
          <w:rFonts w:asciiTheme="minorHAnsi" w:hAnsiTheme="minorHAnsi"/>
          <w:u w:val="single"/>
          <w:lang w:val="en-CA"/>
        </w:rPr>
      </w:pPr>
    </w:p>
    <w:p w:rsidR="0096449C" w:rsidRPr="00DE6DCF" w:rsidRDefault="0096449C" w:rsidP="0096449C">
      <w:pPr>
        <w:ind w:firstLine="360"/>
        <w:jc w:val="both"/>
        <w:rPr>
          <w:rFonts w:asciiTheme="minorHAnsi" w:hAnsiTheme="minorHAnsi"/>
          <w:b/>
          <w:bCs/>
          <w:sz w:val="22"/>
          <w:szCs w:val="22"/>
          <w:u w:val="single"/>
        </w:rPr>
      </w:pPr>
      <w:r w:rsidRPr="00DE6DCF">
        <w:rPr>
          <w:rFonts w:asciiTheme="minorHAnsi" w:hAnsiTheme="minorHAnsi"/>
          <w:b/>
          <w:bCs/>
          <w:sz w:val="22"/>
          <w:szCs w:val="22"/>
          <w:u w:val="single"/>
        </w:rPr>
        <w:t>ENHANCING THE PRACTICALITY OF THE INDICATORS</w:t>
      </w:r>
    </w:p>
    <w:p w:rsidR="0096449C" w:rsidRPr="00DE6DCF" w:rsidRDefault="0096449C" w:rsidP="0096449C">
      <w:pPr>
        <w:ind w:firstLine="360"/>
        <w:jc w:val="both"/>
        <w:rPr>
          <w:rFonts w:asciiTheme="minorHAnsi" w:hAnsiTheme="minorHAnsi"/>
          <w:sz w:val="8"/>
          <w:szCs w:val="8"/>
          <w:u w:val="single"/>
        </w:rPr>
      </w:pPr>
    </w:p>
    <w:p w:rsidR="0096449C" w:rsidRPr="00607961" w:rsidRDefault="0096449C" w:rsidP="006039E1">
      <w:pPr>
        <w:pStyle w:val="ListParagraph"/>
        <w:numPr>
          <w:ilvl w:val="0"/>
          <w:numId w:val="2"/>
        </w:numPr>
        <w:spacing w:after="0" w:line="240" w:lineRule="auto"/>
        <w:jc w:val="both"/>
        <w:rPr>
          <w:rFonts w:asciiTheme="minorHAnsi" w:hAnsiTheme="minorHAnsi"/>
        </w:rPr>
      </w:pPr>
      <w:r w:rsidRPr="00607961">
        <w:rPr>
          <w:rFonts w:asciiTheme="minorHAnsi" w:hAnsiTheme="minorHAnsi"/>
        </w:rPr>
        <w:t xml:space="preserve">An </w:t>
      </w:r>
      <w:r w:rsidRPr="00607961">
        <w:rPr>
          <w:rFonts w:asciiTheme="minorHAnsi" w:hAnsiTheme="minorHAnsi"/>
          <w:b/>
          <w:bCs/>
        </w:rPr>
        <w:t>implementation guide</w:t>
      </w:r>
      <w:r w:rsidRPr="00607961">
        <w:rPr>
          <w:rFonts w:asciiTheme="minorHAnsi" w:hAnsiTheme="minorHAnsi"/>
        </w:rPr>
        <w:t xml:space="preserve"> would be needed in order to complement the indicator methodology sheets with detailed guidance on both methodological and practical issues related to the measurement of the indicators.</w:t>
      </w:r>
    </w:p>
    <w:p w:rsidR="0096449C" w:rsidRPr="00DE6DCF" w:rsidRDefault="0096449C" w:rsidP="0096449C">
      <w:pPr>
        <w:ind w:firstLine="360"/>
        <w:jc w:val="both"/>
        <w:rPr>
          <w:rFonts w:asciiTheme="minorHAnsi" w:hAnsiTheme="minorHAnsi"/>
          <w:u w:val="single"/>
          <w:lang w:val="en-CA"/>
        </w:rPr>
      </w:pPr>
    </w:p>
    <w:p w:rsidR="0096449C" w:rsidRPr="00607961" w:rsidRDefault="0096449C" w:rsidP="006039E1">
      <w:pPr>
        <w:pStyle w:val="ListParagraph"/>
        <w:numPr>
          <w:ilvl w:val="0"/>
          <w:numId w:val="2"/>
        </w:numPr>
        <w:autoSpaceDE w:val="0"/>
        <w:autoSpaceDN w:val="0"/>
        <w:adjustRightInd w:val="0"/>
        <w:spacing w:after="0" w:line="240" w:lineRule="auto"/>
        <w:jc w:val="both"/>
        <w:rPr>
          <w:rFonts w:asciiTheme="minorHAnsi" w:hAnsiTheme="minorHAnsi"/>
        </w:rPr>
      </w:pPr>
      <w:r w:rsidRPr="00607961">
        <w:rPr>
          <w:rFonts w:asciiTheme="minorHAnsi" w:hAnsiTheme="minorHAnsi"/>
        </w:rPr>
        <w:t xml:space="preserve">An </w:t>
      </w:r>
      <w:r>
        <w:rPr>
          <w:rFonts w:asciiTheme="minorHAnsi" w:hAnsiTheme="minorHAnsi"/>
          <w:b/>
          <w:bCs/>
        </w:rPr>
        <w:t>Excel and/or web interface based on a computerized model</w:t>
      </w:r>
      <w:r w:rsidRPr="00607961">
        <w:rPr>
          <w:rFonts w:asciiTheme="minorHAnsi" w:hAnsiTheme="minorHAnsi"/>
        </w:rPr>
        <w:t xml:space="preserve"> could be developed, </w:t>
      </w:r>
      <w:proofErr w:type="spellStart"/>
      <w:r w:rsidRPr="00607961">
        <w:rPr>
          <w:rFonts w:asciiTheme="minorHAnsi" w:hAnsiTheme="minorHAnsi"/>
        </w:rPr>
        <w:t>i</w:t>
      </w:r>
      <w:r w:rsidRPr="00607961">
        <w:rPr>
          <w:rFonts w:asciiTheme="minorHAnsi" w:hAnsiTheme="minorHAnsi" w:cstheme="minorBidi"/>
          <w:lang w:val="en-GB"/>
        </w:rPr>
        <w:t>n</w:t>
      </w:r>
      <w:proofErr w:type="spellEnd"/>
      <w:r w:rsidRPr="00607961">
        <w:rPr>
          <w:rFonts w:asciiTheme="minorHAnsi" w:hAnsiTheme="minorHAnsi" w:cstheme="minorBidi"/>
          <w:lang w:val="en-GB"/>
        </w:rPr>
        <w:t xml:space="preserve"> order to significantly reduce the time, skills and cost required to measure</w:t>
      </w:r>
      <w:r w:rsidRPr="00607961">
        <w:rPr>
          <w:rFonts w:asciiTheme="minorHAnsi" w:hAnsiTheme="minorHAnsi"/>
        </w:rPr>
        <w:t xml:space="preserve"> the GBEP indicators. This </w:t>
      </w:r>
      <w:r w:rsidRPr="00607961">
        <w:rPr>
          <w:rFonts w:asciiTheme="minorHAnsi" w:hAnsiTheme="minorHAnsi" w:cstheme="minorBidi"/>
          <w:lang w:val="en-GB"/>
        </w:rPr>
        <w:t>would allow users to easily enter all data required for the 24 indicators into one single data</w:t>
      </w:r>
      <w:r w:rsidRPr="00607961">
        <w:rPr>
          <w:rFonts w:asciiTheme="minorHAnsi" w:hAnsiTheme="minorHAnsi"/>
        </w:rPr>
        <w:t xml:space="preserve"> </w:t>
      </w:r>
      <w:r w:rsidRPr="00607961">
        <w:rPr>
          <w:rFonts w:asciiTheme="minorHAnsi" w:hAnsiTheme="minorHAnsi" w:cstheme="minorBidi"/>
          <w:lang w:val="en-GB"/>
        </w:rPr>
        <w:t>entry sheet and to get a set of results for each indicator based on the related methodologies.</w:t>
      </w:r>
      <w:r w:rsidRPr="00607961">
        <w:rPr>
          <w:rFonts w:asciiTheme="minorHAnsi" w:hAnsiTheme="minorHAnsi"/>
        </w:rPr>
        <w:t xml:space="preserve"> </w:t>
      </w:r>
      <w:r w:rsidRPr="00607961">
        <w:rPr>
          <w:rFonts w:asciiTheme="minorHAnsi" w:hAnsiTheme="minorHAnsi" w:cstheme="minorBidi"/>
          <w:lang w:val="en-GB"/>
        </w:rPr>
        <w:t>In addition to the aforementioned benefits, this process would also simplify considerably</w:t>
      </w:r>
      <w:r w:rsidRPr="00607961">
        <w:rPr>
          <w:rFonts w:asciiTheme="minorHAnsi" w:hAnsiTheme="minorHAnsi"/>
        </w:rPr>
        <w:t xml:space="preserve"> </w:t>
      </w:r>
      <w:r w:rsidRPr="00607961">
        <w:rPr>
          <w:rFonts w:asciiTheme="minorHAnsi" w:hAnsiTheme="minorHAnsi" w:cstheme="minorBidi"/>
          <w:lang w:val="en-GB"/>
        </w:rPr>
        <w:t>the data collection process, and it would allow to easily save and share the results and to</w:t>
      </w:r>
      <w:r w:rsidRPr="00607961">
        <w:rPr>
          <w:rFonts w:asciiTheme="minorHAnsi" w:hAnsiTheme="minorHAnsi"/>
        </w:rPr>
        <w:t xml:space="preserve"> </w:t>
      </w:r>
      <w:r w:rsidRPr="00607961">
        <w:rPr>
          <w:rFonts w:asciiTheme="minorHAnsi" w:hAnsiTheme="minorHAnsi" w:cstheme="minorBidi"/>
          <w:lang w:val="en-GB"/>
        </w:rPr>
        <w:t>re-run the tool over time with up-to-date information.</w:t>
      </w:r>
    </w:p>
    <w:p w:rsidR="0096449C" w:rsidRPr="00607961" w:rsidRDefault="0096449C" w:rsidP="0096449C">
      <w:pPr>
        <w:pStyle w:val="ListParagraph"/>
        <w:spacing w:after="0" w:line="240" w:lineRule="auto"/>
        <w:rPr>
          <w:rFonts w:asciiTheme="minorHAnsi" w:hAnsiTheme="minorHAnsi"/>
          <w:sz w:val="8"/>
          <w:szCs w:val="8"/>
        </w:rPr>
      </w:pPr>
    </w:p>
    <w:p w:rsidR="0096449C" w:rsidRDefault="0096449C" w:rsidP="006039E1">
      <w:pPr>
        <w:pStyle w:val="ListParagraph"/>
        <w:numPr>
          <w:ilvl w:val="0"/>
          <w:numId w:val="2"/>
        </w:numPr>
        <w:spacing w:after="0" w:line="240" w:lineRule="auto"/>
        <w:jc w:val="both"/>
        <w:rPr>
          <w:rFonts w:asciiTheme="minorHAnsi" w:hAnsiTheme="minorHAnsi"/>
        </w:rPr>
      </w:pPr>
      <w:r w:rsidRPr="00607961">
        <w:rPr>
          <w:rFonts w:asciiTheme="minorHAnsi" w:hAnsiTheme="minorHAnsi"/>
          <w:b/>
          <w:bCs/>
        </w:rPr>
        <w:t>Mechanisms to facilitate the systematic flow of data and information from the private sector</w:t>
      </w:r>
      <w:r w:rsidRPr="00607961">
        <w:rPr>
          <w:rFonts w:asciiTheme="minorHAnsi" w:hAnsiTheme="minorHAnsi"/>
        </w:rPr>
        <w:t xml:space="preserve"> to the organizations/agencies measuring the GBEP indicators could be identified and exploited.</w:t>
      </w:r>
    </w:p>
    <w:p w:rsidR="0096449C" w:rsidRPr="00DE6DCF" w:rsidRDefault="0096449C" w:rsidP="0096449C">
      <w:pPr>
        <w:jc w:val="both"/>
        <w:rPr>
          <w:rFonts w:asciiTheme="minorHAnsi" w:hAnsiTheme="minorHAnsi"/>
          <w:sz w:val="8"/>
          <w:szCs w:val="8"/>
        </w:rPr>
      </w:pPr>
    </w:p>
    <w:p w:rsidR="0096449C" w:rsidRPr="003C0120" w:rsidRDefault="0096449C" w:rsidP="006039E1">
      <w:pPr>
        <w:pStyle w:val="ListParagraph"/>
        <w:numPr>
          <w:ilvl w:val="0"/>
          <w:numId w:val="2"/>
        </w:numPr>
        <w:autoSpaceDE w:val="0"/>
        <w:autoSpaceDN w:val="0"/>
        <w:adjustRightInd w:val="0"/>
        <w:spacing w:after="0" w:line="240" w:lineRule="auto"/>
        <w:jc w:val="both"/>
        <w:rPr>
          <w:rFonts w:asciiTheme="minorHAnsi" w:hAnsiTheme="minorHAnsi"/>
        </w:rPr>
      </w:pPr>
      <w:r w:rsidRPr="00607961">
        <w:rPr>
          <w:rFonts w:asciiTheme="minorHAnsi" w:hAnsiTheme="minorHAnsi"/>
        </w:rPr>
        <w:t>Last, but not least, g</w:t>
      </w:r>
      <w:proofErr w:type="spellStart"/>
      <w:r w:rsidRPr="00607961">
        <w:rPr>
          <w:rFonts w:asciiTheme="minorHAnsi" w:hAnsiTheme="minorHAnsi" w:cstheme="minorBidi"/>
          <w:lang w:val="en-GB"/>
        </w:rPr>
        <w:t>iven</w:t>
      </w:r>
      <w:proofErr w:type="spellEnd"/>
      <w:r w:rsidRPr="00607961">
        <w:rPr>
          <w:rFonts w:asciiTheme="minorHAnsi" w:hAnsiTheme="minorHAnsi" w:cstheme="minorBidi"/>
          <w:lang w:val="en-GB"/>
        </w:rPr>
        <w:t xml:space="preserve"> the global nature of the GBEP indicators, the report containing </w:t>
      </w:r>
      <w:r w:rsidRPr="00607961">
        <w:rPr>
          <w:rFonts w:asciiTheme="minorHAnsi" w:hAnsiTheme="minorHAnsi"/>
        </w:rPr>
        <w:t>the methodology sheets could</w:t>
      </w:r>
      <w:r w:rsidRPr="00607961">
        <w:rPr>
          <w:rFonts w:asciiTheme="minorHAnsi" w:hAnsiTheme="minorHAnsi" w:cstheme="minorBidi"/>
          <w:lang w:val="en-GB"/>
        </w:rPr>
        <w:t xml:space="preserve"> be </w:t>
      </w:r>
      <w:r w:rsidRPr="00607961">
        <w:rPr>
          <w:rFonts w:asciiTheme="minorHAnsi" w:hAnsiTheme="minorHAnsi" w:cstheme="minorBidi"/>
          <w:b/>
          <w:bCs/>
          <w:lang w:val="en-GB"/>
        </w:rPr>
        <w:t>translated into other official languages of the UN</w:t>
      </w:r>
      <w:r w:rsidRPr="00607961">
        <w:rPr>
          <w:rFonts w:asciiTheme="minorHAnsi" w:hAnsiTheme="minorHAnsi" w:cstheme="minorBidi"/>
          <w:lang w:val="en-GB"/>
        </w:rPr>
        <w:t xml:space="preserve"> beside English (a Spanish translation is currently being prepared as well). This would greatly facilitate the dissemination and implementation of the indicators in developing countries around the world.</w:t>
      </w: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96449C" w:rsidRDefault="0096449C" w:rsidP="0096449C">
      <w:pPr>
        <w:rPr>
          <w:b/>
          <w:bCs/>
          <w:sz w:val="28"/>
          <w:szCs w:val="28"/>
        </w:rPr>
      </w:pPr>
    </w:p>
    <w:p w:rsidR="00140CF6" w:rsidRDefault="00140CF6" w:rsidP="0096449C">
      <w:pPr>
        <w:jc w:val="center"/>
        <w:rPr>
          <w:b/>
          <w:bCs/>
          <w:sz w:val="26"/>
          <w:szCs w:val="26"/>
        </w:rPr>
      </w:pPr>
    </w:p>
    <w:p w:rsidR="0096449C" w:rsidRPr="00C77B2F" w:rsidRDefault="0096449C" w:rsidP="0096449C">
      <w:pPr>
        <w:jc w:val="center"/>
        <w:rPr>
          <w:b/>
          <w:bCs/>
          <w:sz w:val="28"/>
          <w:szCs w:val="28"/>
        </w:rPr>
      </w:pPr>
      <w:r w:rsidRPr="00607961">
        <w:rPr>
          <w:b/>
          <w:bCs/>
          <w:sz w:val="26"/>
          <w:szCs w:val="26"/>
        </w:rPr>
        <w:lastRenderedPageBreak/>
        <w:t>ENVIRONMENTAL PILLAR</w:t>
      </w:r>
    </w:p>
    <w:p w:rsidR="0096449C" w:rsidRDefault="0096449C" w:rsidP="0096449C">
      <w:pPr>
        <w:pStyle w:val="Default"/>
        <w:rPr>
          <w:sz w:val="18"/>
          <w:szCs w:val="18"/>
        </w:rPr>
      </w:pPr>
    </w:p>
    <w:p w:rsidR="0096449C" w:rsidRPr="00DC2FF0" w:rsidRDefault="0096449C" w:rsidP="0096449C">
      <w:pPr>
        <w:pStyle w:val="Default"/>
        <w:rPr>
          <w:sz w:val="12"/>
          <w:szCs w:val="12"/>
        </w:rPr>
      </w:pPr>
    </w:p>
    <w:tbl>
      <w:tblPr>
        <w:tblStyle w:val="TableGrid"/>
        <w:tblW w:w="15480" w:type="dxa"/>
        <w:tblInd w:w="-545" w:type="dxa"/>
        <w:tblLayout w:type="fixed"/>
        <w:tblLook w:val="04A0" w:firstRow="1" w:lastRow="0" w:firstColumn="1" w:lastColumn="0" w:noHBand="0" w:noVBand="1"/>
      </w:tblPr>
      <w:tblGrid>
        <w:gridCol w:w="1980"/>
        <w:gridCol w:w="3068"/>
        <w:gridCol w:w="2976"/>
        <w:gridCol w:w="3119"/>
        <w:gridCol w:w="1817"/>
        <w:gridCol w:w="2520"/>
      </w:tblGrid>
      <w:tr w:rsidR="0096449C" w:rsidTr="0096449C">
        <w:tc>
          <w:tcPr>
            <w:tcW w:w="1980" w:type="dxa"/>
          </w:tcPr>
          <w:p w:rsidR="0096449C" w:rsidRPr="00C17876" w:rsidRDefault="0096449C" w:rsidP="0096449C">
            <w:pPr>
              <w:pStyle w:val="Default"/>
              <w:rPr>
                <w:b/>
                <w:sz w:val="20"/>
                <w:szCs w:val="20"/>
              </w:rPr>
            </w:pPr>
            <w:r w:rsidRPr="00C17876">
              <w:rPr>
                <w:b/>
                <w:sz w:val="20"/>
                <w:szCs w:val="20"/>
              </w:rPr>
              <w:t>INDICATOR NAME</w:t>
            </w:r>
          </w:p>
        </w:tc>
        <w:tc>
          <w:tcPr>
            <w:tcW w:w="3068" w:type="dxa"/>
          </w:tcPr>
          <w:p w:rsidR="0096449C" w:rsidRPr="00C17876" w:rsidRDefault="0096449C" w:rsidP="0096449C">
            <w:pPr>
              <w:pStyle w:val="Default"/>
              <w:ind w:left="-9"/>
              <w:rPr>
                <w:b/>
                <w:sz w:val="20"/>
                <w:szCs w:val="20"/>
              </w:rPr>
            </w:pPr>
            <w:r>
              <w:rPr>
                <w:b/>
                <w:sz w:val="20"/>
                <w:szCs w:val="20"/>
              </w:rPr>
              <w:t>1</w:t>
            </w:r>
            <w:r w:rsidRPr="00C17876">
              <w:rPr>
                <w:b/>
                <w:sz w:val="20"/>
                <w:szCs w:val="20"/>
              </w:rPr>
              <w:t xml:space="preserve">) </w:t>
            </w:r>
            <w:r>
              <w:rPr>
                <w:b/>
                <w:sz w:val="20"/>
                <w:szCs w:val="20"/>
              </w:rPr>
              <w:t>Which are the major challenges when measuring this indicator</w:t>
            </w:r>
            <w:r w:rsidRPr="00C17876">
              <w:rPr>
                <w:b/>
                <w:sz w:val="20"/>
                <w:szCs w:val="20"/>
              </w:rPr>
              <w:t>?</w:t>
            </w:r>
            <w:r>
              <w:rPr>
                <w:b/>
                <w:sz w:val="20"/>
                <w:szCs w:val="20"/>
              </w:rPr>
              <w:t xml:space="preserve"> </w:t>
            </w:r>
          </w:p>
          <w:p w:rsidR="0096449C" w:rsidRPr="00C17876" w:rsidRDefault="0096449C" w:rsidP="0096449C">
            <w:pPr>
              <w:pStyle w:val="Default"/>
              <w:ind w:left="-29" w:right="-108"/>
              <w:rPr>
                <w:b/>
                <w:sz w:val="20"/>
                <w:szCs w:val="20"/>
              </w:rPr>
            </w:pPr>
          </w:p>
        </w:tc>
        <w:tc>
          <w:tcPr>
            <w:tcW w:w="2976" w:type="dxa"/>
          </w:tcPr>
          <w:p w:rsidR="0096449C" w:rsidRDefault="0096449C" w:rsidP="0096449C">
            <w:pPr>
              <w:pStyle w:val="Default"/>
              <w:ind w:left="-9"/>
              <w:rPr>
                <w:b/>
                <w:sz w:val="20"/>
                <w:szCs w:val="20"/>
              </w:rPr>
            </w:pPr>
            <w:r>
              <w:rPr>
                <w:b/>
                <w:sz w:val="20"/>
                <w:szCs w:val="20"/>
              </w:rPr>
              <w:t>2</w:t>
            </w:r>
            <w:r w:rsidRPr="00C17876">
              <w:rPr>
                <w:b/>
                <w:sz w:val="20"/>
                <w:szCs w:val="20"/>
              </w:rPr>
              <w:t xml:space="preserve">) </w:t>
            </w:r>
            <w:r>
              <w:rPr>
                <w:b/>
                <w:sz w:val="20"/>
                <w:szCs w:val="20"/>
              </w:rPr>
              <w:t>Data availability</w:t>
            </w:r>
            <w:r w:rsidRPr="00C17876">
              <w:rPr>
                <w:b/>
                <w:sz w:val="20"/>
                <w:szCs w:val="20"/>
              </w:rPr>
              <w:t>?</w:t>
            </w:r>
          </w:p>
          <w:p w:rsidR="0096449C" w:rsidRDefault="0096449C" w:rsidP="0096449C">
            <w:pPr>
              <w:pStyle w:val="Default"/>
              <w:ind w:left="-9"/>
              <w:rPr>
                <w:b/>
                <w:sz w:val="20"/>
                <w:szCs w:val="20"/>
              </w:rPr>
            </w:pPr>
            <w:r>
              <w:rPr>
                <w:b/>
                <w:sz w:val="20"/>
                <w:szCs w:val="20"/>
              </w:rPr>
              <w:t>Data appropriateness?</w:t>
            </w:r>
          </w:p>
          <w:p w:rsidR="0096449C" w:rsidRPr="00C17876" w:rsidRDefault="0096449C" w:rsidP="0096449C">
            <w:pPr>
              <w:pStyle w:val="Default"/>
              <w:ind w:left="-9"/>
              <w:rPr>
                <w:b/>
                <w:sz w:val="20"/>
                <w:szCs w:val="20"/>
              </w:rPr>
            </w:pPr>
          </w:p>
        </w:tc>
        <w:tc>
          <w:tcPr>
            <w:tcW w:w="3119" w:type="dxa"/>
          </w:tcPr>
          <w:p w:rsidR="0096449C" w:rsidRPr="00C17876" w:rsidRDefault="0096449C" w:rsidP="0096449C">
            <w:pPr>
              <w:pStyle w:val="Default"/>
              <w:ind w:left="-9"/>
              <w:rPr>
                <w:b/>
                <w:sz w:val="20"/>
                <w:szCs w:val="20"/>
              </w:rPr>
            </w:pPr>
            <w:r w:rsidRPr="00C17876">
              <w:rPr>
                <w:b/>
                <w:sz w:val="20"/>
                <w:szCs w:val="20"/>
              </w:rPr>
              <w:t xml:space="preserve">3) </w:t>
            </w:r>
            <w:r>
              <w:rPr>
                <w:b/>
                <w:sz w:val="20"/>
                <w:szCs w:val="20"/>
              </w:rPr>
              <w:t>How relevant is capacity building</w:t>
            </w:r>
            <w:r w:rsidRPr="00C17876">
              <w:rPr>
                <w:b/>
                <w:sz w:val="20"/>
                <w:szCs w:val="20"/>
              </w:rPr>
              <w:t>?</w:t>
            </w:r>
          </w:p>
        </w:tc>
        <w:tc>
          <w:tcPr>
            <w:tcW w:w="1817" w:type="dxa"/>
          </w:tcPr>
          <w:p w:rsidR="0096449C" w:rsidRPr="00C17876" w:rsidRDefault="0096449C" w:rsidP="0096449C">
            <w:pPr>
              <w:pStyle w:val="Default"/>
              <w:ind w:left="-9"/>
              <w:rPr>
                <w:b/>
                <w:sz w:val="20"/>
                <w:szCs w:val="20"/>
              </w:rPr>
            </w:pPr>
            <w:r>
              <w:rPr>
                <w:b/>
                <w:sz w:val="20"/>
                <w:szCs w:val="20"/>
              </w:rPr>
              <w:t>4) Any other fundamental obstacle?</w:t>
            </w:r>
          </w:p>
        </w:tc>
        <w:tc>
          <w:tcPr>
            <w:tcW w:w="2520" w:type="dxa"/>
          </w:tcPr>
          <w:p w:rsidR="0096449C" w:rsidRPr="00C17876" w:rsidRDefault="0096449C" w:rsidP="0096449C">
            <w:pPr>
              <w:pStyle w:val="Default"/>
              <w:ind w:left="-9"/>
              <w:rPr>
                <w:b/>
                <w:sz w:val="20"/>
                <w:szCs w:val="20"/>
              </w:rPr>
            </w:pPr>
            <w:r>
              <w:rPr>
                <w:b/>
                <w:sz w:val="20"/>
                <w:szCs w:val="20"/>
              </w:rPr>
              <w:t>5) Comments.</w:t>
            </w:r>
          </w:p>
        </w:tc>
      </w:tr>
      <w:tr w:rsidR="0096449C" w:rsidTr="0096449C">
        <w:tc>
          <w:tcPr>
            <w:tcW w:w="1980" w:type="dxa"/>
            <w:vAlign w:val="center"/>
          </w:tcPr>
          <w:p w:rsidR="0096449C" w:rsidRPr="003736FE" w:rsidRDefault="0096449C" w:rsidP="0096449C">
            <w:pPr>
              <w:pStyle w:val="Default"/>
              <w:spacing w:before="480" w:after="480"/>
              <w:rPr>
                <w:sz w:val="18"/>
                <w:szCs w:val="18"/>
              </w:rPr>
            </w:pPr>
            <w:r w:rsidRPr="00445B6A">
              <w:rPr>
                <w:b/>
                <w:bCs/>
                <w:sz w:val="18"/>
                <w:szCs w:val="18"/>
              </w:rPr>
              <w:t>1. Lifecycle GHG emissions</w:t>
            </w:r>
            <w:r>
              <w:rPr>
                <w:b/>
                <w:bCs/>
                <w:sz w:val="18"/>
                <w:szCs w:val="18"/>
              </w:rPr>
              <w:t xml:space="preserve"> </w:t>
            </w:r>
          </w:p>
        </w:tc>
        <w:tc>
          <w:tcPr>
            <w:tcW w:w="3068" w:type="dxa"/>
          </w:tcPr>
          <w:p w:rsidR="0096449C" w:rsidRPr="00CB01E3" w:rsidRDefault="0096449C" w:rsidP="0096449C">
            <w:pPr>
              <w:spacing w:after="120"/>
              <w:rPr>
                <w:sz w:val="20"/>
                <w:szCs w:val="20"/>
              </w:rPr>
            </w:pPr>
            <w:r>
              <w:rPr>
                <w:sz w:val="20"/>
                <w:szCs w:val="20"/>
              </w:rPr>
              <w:t>1. Selection of attributional LCA (ALCA) vs consequential LCA approaches (CLCA) depending on whether direct and indirect land use changes are being accounted for.</w:t>
            </w:r>
          </w:p>
          <w:p w:rsidR="0096449C" w:rsidRPr="00CB01E3" w:rsidRDefault="0096449C" w:rsidP="0096449C">
            <w:pPr>
              <w:spacing w:after="120"/>
              <w:rPr>
                <w:sz w:val="20"/>
                <w:szCs w:val="20"/>
              </w:rPr>
            </w:pPr>
            <w:r>
              <w:rPr>
                <w:sz w:val="20"/>
                <w:szCs w:val="20"/>
              </w:rPr>
              <w:t>2. The Common Methodological Framework does not offer sufficient guidance on the definition of LCA boundaries and the selection of the relevant timeframe and cut-off criteria.</w:t>
            </w:r>
          </w:p>
          <w:p w:rsidR="0096449C" w:rsidRPr="005A5C0A" w:rsidRDefault="0096449C" w:rsidP="0096449C">
            <w:pPr>
              <w:spacing w:after="120"/>
              <w:rPr>
                <w:sz w:val="20"/>
                <w:szCs w:val="20"/>
              </w:rPr>
            </w:pPr>
            <w:r>
              <w:rPr>
                <w:sz w:val="20"/>
                <w:szCs w:val="20"/>
              </w:rPr>
              <w:t>3. T</w:t>
            </w:r>
            <w:r w:rsidRPr="004F68E6">
              <w:rPr>
                <w:sz w:val="20"/>
                <w:szCs w:val="20"/>
              </w:rPr>
              <w:t>he need to define an average national figure for GHG emissions related to the production of bioenergy</w:t>
            </w:r>
            <w:r>
              <w:rPr>
                <w:sz w:val="20"/>
                <w:szCs w:val="20"/>
              </w:rPr>
              <w:t xml:space="preserve"> </w:t>
            </w:r>
            <w:r w:rsidRPr="004F68E6">
              <w:rPr>
                <w:sz w:val="20"/>
                <w:szCs w:val="20"/>
              </w:rPr>
              <w:t>is a</w:t>
            </w:r>
            <w:r>
              <w:rPr>
                <w:sz w:val="20"/>
                <w:szCs w:val="20"/>
              </w:rPr>
              <w:t>nother</w:t>
            </w:r>
            <w:r w:rsidRPr="004F68E6">
              <w:rPr>
                <w:sz w:val="20"/>
                <w:szCs w:val="20"/>
              </w:rPr>
              <w:t xml:space="preserve"> methodological challenge</w:t>
            </w:r>
            <w:r>
              <w:rPr>
                <w:sz w:val="20"/>
                <w:szCs w:val="20"/>
              </w:rPr>
              <w:t>, as s</w:t>
            </w:r>
            <w:r w:rsidRPr="004F68E6">
              <w:rPr>
                <w:sz w:val="20"/>
                <w:szCs w:val="20"/>
              </w:rPr>
              <w:t xml:space="preserve">ite-specific or operator-specific </w:t>
            </w:r>
            <w:r>
              <w:rPr>
                <w:sz w:val="20"/>
                <w:szCs w:val="20"/>
              </w:rPr>
              <w:t>assessments may vary greatly within the same country.</w:t>
            </w:r>
            <w:r w:rsidRPr="004F68E6">
              <w:rPr>
                <w:sz w:val="20"/>
                <w:szCs w:val="20"/>
              </w:rPr>
              <w:t xml:space="preserve"> The intrinsic diversity and variability of </w:t>
            </w:r>
            <w:r>
              <w:rPr>
                <w:sz w:val="20"/>
                <w:szCs w:val="20"/>
              </w:rPr>
              <w:t xml:space="preserve">bioenergy production pathways that exist in some countries </w:t>
            </w:r>
            <w:r w:rsidRPr="004F68E6">
              <w:rPr>
                <w:sz w:val="20"/>
                <w:szCs w:val="20"/>
              </w:rPr>
              <w:t>require</w:t>
            </w:r>
            <w:r>
              <w:rPr>
                <w:sz w:val="20"/>
                <w:szCs w:val="20"/>
              </w:rPr>
              <w:t>s</w:t>
            </w:r>
            <w:r w:rsidRPr="004F68E6">
              <w:rPr>
                <w:sz w:val="20"/>
                <w:szCs w:val="20"/>
              </w:rPr>
              <w:t xml:space="preserve"> the formulation of assumptions and the production of scenarios </w:t>
            </w:r>
            <w:r>
              <w:rPr>
                <w:sz w:val="20"/>
                <w:szCs w:val="20"/>
              </w:rPr>
              <w:t>in order to come up with nationally representative results.</w:t>
            </w:r>
          </w:p>
        </w:tc>
        <w:tc>
          <w:tcPr>
            <w:tcW w:w="2976" w:type="dxa"/>
          </w:tcPr>
          <w:p w:rsidR="0096449C" w:rsidRPr="00B43371" w:rsidRDefault="0096449C" w:rsidP="0096449C">
            <w:pPr>
              <w:spacing w:after="120"/>
              <w:rPr>
                <w:sz w:val="20"/>
                <w:szCs w:val="20"/>
              </w:rPr>
            </w:pPr>
            <w:r>
              <w:rPr>
                <w:sz w:val="20"/>
                <w:szCs w:val="20"/>
              </w:rPr>
              <w:t>1. Primary data should be used when available (this is generally the case)</w:t>
            </w:r>
            <w:r w:rsidRPr="005A5C0A">
              <w:rPr>
                <w:sz w:val="20"/>
                <w:szCs w:val="20"/>
              </w:rPr>
              <w:t>.</w:t>
            </w:r>
            <w:r>
              <w:rPr>
                <w:sz w:val="20"/>
                <w:szCs w:val="20"/>
              </w:rPr>
              <w:t xml:space="preserve"> I</w:t>
            </w:r>
            <w:r w:rsidRPr="005A5C0A">
              <w:rPr>
                <w:sz w:val="20"/>
                <w:szCs w:val="20"/>
              </w:rPr>
              <w:t>t</w:t>
            </w:r>
            <w:r>
              <w:rPr>
                <w:sz w:val="20"/>
                <w:szCs w:val="20"/>
              </w:rPr>
              <w:t xml:space="preserve"> would be</w:t>
            </w:r>
            <w:r w:rsidRPr="005A5C0A">
              <w:rPr>
                <w:sz w:val="20"/>
                <w:szCs w:val="20"/>
              </w:rPr>
              <w:t xml:space="preserve"> important to specify </w:t>
            </w:r>
            <w:r>
              <w:rPr>
                <w:sz w:val="20"/>
                <w:szCs w:val="20"/>
              </w:rPr>
              <w:t xml:space="preserve">when it is appropriate </w:t>
            </w:r>
            <w:r w:rsidRPr="005A5C0A">
              <w:rPr>
                <w:sz w:val="20"/>
                <w:szCs w:val="20"/>
              </w:rPr>
              <w:t xml:space="preserve">to use </w:t>
            </w:r>
            <w:r>
              <w:rPr>
                <w:sz w:val="20"/>
                <w:szCs w:val="20"/>
              </w:rPr>
              <w:t>default values</w:t>
            </w:r>
            <w:r w:rsidRPr="005A5C0A">
              <w:rPr>
                <w:sz w:val="20"/>
                <w:szCs w:val="20"/>
              </w:rPr>
              <w:t xml:space="preserve">. </w:t>
            </w:r>
          </w:p>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t>2.</w:t>
            </w:r>
            <w:r w:rsidRPr="00E36C44">
              <w:rPr>
                <w:rFonts w:asciiTheme="minorHAnsi" w:hAnsiTheme="minorHAnsi"/>
                <w:sz w:val="20"/>
                <w:szCs w:val="20"/>
              </w:rPr>
              <w:t xml:space="preserve"> </w:t>
            </w:r>
            <w:proofErr w:type="spellStart"/>
            <w:r w:rsidRPr="00E36C44">
              <w:rPr>
                <w:rFonts w:asciiTheme="minorHAnsi" w:hAnsiTheme="minorHAnsi"/>
                <w:sz w:val="20"/>
                <w:szCs w:val="20"/>
              </w:rPr>
              <w:t>Biograce</w:t>
            </w:r>
            <w:proofErr w:type="spellEnd"/>
            <w:r>
              <w:rPr>
                <w:rFonts w:asciiTheme="minorHAnsi" w:hAnsiTheme="minorHAnsi"/>
                <w:sz w:val="20"/>
                <w:szCs w:val="20"/>
              </w:rPr>
              <w:t>,</w:t>
            </w:r>
            <w:r w:rsidRPr="00E36C44">
              <w:rPr>
                <w:rFonts w:asciiTheme="minorHAnsi" w:hAnsiTheme="minorHAnsi"/>
                <w:sz w:val="20"/>
                <w:szCs w:val="20"/>
              </w:rPr>
              <w:t xml:space="preserve"> GREET</w:t>
            </w:r>
            <w:r>
              <w:rPr>
                <w:rFonts w:asciiTheme="minorHAnsi" w:hAnsiTheme="minorHAnsi"/>
                <w:sz w:val="20"/>
                <w:szCs w:val="20"/>
              </w:rPr>
              <w:t xml:space="preserve">, </w:t>
            </w:r>
            <w:proofErr w:type="spellStart"/>
            <w:r>
              <w:rPr>
                <w:rFonts w:asciiTheme="minorHAnsi" w:hAnsiTheme="minorHAnsi"/>
                <w:sz w:val="20"/>
                <w:szCs w:val="20"/>
              </w:rPr>
              <w:t>GHGenius</w:t>
            </w:r>
            <w:proofErr w:type="spellEnd"/>
            <w:r w:rsidRPr="00E36C44">
              <w:rPr>
                <w:rFonts w:asciiTheme="minorHAnsi" w:hAnsiTheme="minorHAnsi"/>
                <w:sz w:val="20"/>
                <w:szCs w:val="20"/>
              </w:rPr>
              <w:t xml:space="preserve"> </w:t>
            </w:r>
            <w:r>
              <w:rPr>
                <w:rFonts w:asciiTheme="minorHAnsi" w:hAnsiTheme="minorHAnsi"/>
                <w:sz w:val="20"/>
                <w:szCs w:val="20"/>
              </w:rPr>
              <w:t xml:space="preserve">and other models </w:t>
            </w:r>
            <w:r w:rsidRPr="00E36C44">
              <w:rPr>
                <w:rFonts w:asciiTheme="minorHAnsi" w:hAnsiTheme="minorHAnsi"/>
                <w:sz w:val="20"/>
                <w:szCs w:val="20"/>
              </w:rPr>
              <w:t xml:space="preserve">are useful </w:t>
            </w:r>
            <w:r>
              <w:rPr>
                <w:rFonts w:asciiTheme="minorHAnsi" w:hAnsiTheme="minorHAnsi"/>
                <w:sz w:val="20"/>
                <w:szCs w:val="20"/>
              </w:rPr>
              <w:t>tools</w:t>
            </w:r>
            <w:r w:rsidRPr="00E36C44">
              <w:rPr>
                <w:rFonts w:asciiTheme="minorHAnsi" w:hAnsiTheme="minorHAnsi"/>
                <w:sz w:val="20"/>
                <w:szCs w:val="20"/>
              </w:rPr>
              <w:t xml:space="preserve"> to be used</w:t>
            </w:r>
            <w:r>
              <w:rPr>
                <w:rFonts w:asciiTheme="minorHAnsi" w:hAnsiTheme="minorHAnsi"/>
                <w:sz w:val="20"/>
                <w:szCs w:val="20"/>
              </w:rPr>
              <w:t>, because methodologies and background data are already included.</w:t>
            </w:r>
          </w:p>
          <w:p w:rsidR="0096449C" w:rsidRDefault="0096449C" w:rsidP="0096449C">
            <w:pPr>
              <w:pStyle w:val="CommentText"/>
            </w:pPr>
            <w:r>
              <w:t>3. Relevant data (GHG as well as other data) are collected or will be collected by countries as part of the UNFCCC inventory process. That UNFCCC process provides an opportunity for coupling with GBEP data collection. Coupling those efforts as much as possible should be explored.</w:t>
            </w:r>
          </w:p>
          <w:p w:rsidR="0096449C" w:rsidRDefault="0096449C" w:rsidP="0096449C">
            <w:pPr>
              <w:pStyle w:val="Default"/>
              <w:spacing w:after="120"/>
              <w:rPr>
                <w:rFonts w:asciiTheme="minorHAnsi" w:hAnsiTheme="minorHAnsi"/>
                <w:sz w:val="20"/>
                <w:szCs w:val="20"/>
              </w:rPr>
            </w:pPr>
          </w:p>
          <w:p w:rsidR="0096449C" w:rsidRPr="00E36C44" w:rsidRDefault="0096449C" w:rsidP="0096449C">
            <w:pPr>
              <w:pStyle w:val="Default"/>
              <w:spacing w:after="120"/>
              <w:rPr>
                <w:rFonts w:asciiTheme="minorHAnsi" w:hAnsiTheme="minorHAnsi"/>
                <w:sz w:val="20"/>
                <w:szCs w:val="20"/>
              </w:rPr>
            </w:pPr>
          </w:p>
        </w:tc>
        <w:tc>
          <w:tcPr>
            <w:tcW w:w="3119" w:type="dxa"/>
          </w:tcPr>
          <w:p w:rsidR="0096449C" w:rsidRDefault="0096449C" w:rsidP="006039E1">
            <w:pPr>
              <w:pStyle w:val="Default"/>
              <w:numPr>
                <w:ilvl w:val="0"/>
                <w:numId w:val="3"/>
              </w:numPr>
              <w:spacing w:after="120"/>
              <w:rPr>
                <w:rFonts w:asciiTheme="minorHAnsi" w:hAnsiTheme="minorHAnsi"/>
                <w:sz w:val="20"/>
                <w:szCs w:val="20"/>
              </w:rPr>
            </w:pPr>
            <w:r>
              <w:rPr>
                <w:rFonts w:asciiTheme="minorHAnsi" w:hAnsiTheme="minorHAnsi"/>
                <w:sz w:val="20"/>
                <w:szCs w:val="20"/>
              </w:rPr>
              <w:t>R</w:t>
            </w:r>
            <w:r w:rsidRPr="005A5C0A">
              <w:rPr>
                <w:rFonts w:asciiTheme="minorHAnsi" w:hAnsiTheme="minorHAnsi"/>
                <w:sz w:val="20"/>
                <w:szCs w:val="20"/>
              </w:rPr>
              <w:t>elevant</w:t>
            </w:r>
            <w:r>
              <w:rPr>
                <w:rFonts w:asciiTheme="minorHAnsi" w:hAnsiTheme="minorHAnsi"/>
                <w:sz w:val="20"/>
                <w:szCs w:val="20"/>
              </w:rPr>
              <w:t>:</w:t>
            </w:r>
          </w:p>
          <w:p w:rsidR="0096449C" w:rsidRDefault="0096449C" w:rsidP="006039E1">
            <w:pPr>
              <w:pStyle w:val="Default"/>
              <w:numPr>
                <w:ilvl w:val="0"/>
                <w:numId w:val="1"/>
              </w:numPr>
              <w:spacing w:after="120"/>
              <w:rPr>
                <w:rFonts w:asciiTheme="minorHAnsi" w:hAnsiTheme="minorHAnsi"/>
                <w:sz w:val="20"/>
                <w:szCs w:val="20"/>
              </w:rPr>
            </w:pPr>
            <w:r>
              <w:rPr>
                <w:rFonts w:asciiTheme="minorHAnsi" w:hAnsiTheme="minorHAnsi"/>
                <w:sz w:val="20"/>
                <w:szCs w:val="20"/>
              </w:rPr>
              <w:t>For training on methodology; and</w:t>
            </w:r>
          </w:p>
          <w:p w:rsidR="0096449C" w:rsidRPr="005A5C0A" w:rsidRDefault="0096449C" w:rsidP="006039E1">
            <w:pPr>
              <w:pStyle w:val="Default"/>
              <w:numPr>
                <w:ilvl w:val="0"/>
                <w:numId w:val="1"/>
              </w:numPr>
              <w:spacing w:after="120"/>
              <w:rPr>
                <w:rFonts w:asciiTheme="minorHAnsi" w:hAnsiTheme="minorHAnsi"/>
                <w:sz w:val="20"/>
                <w:szCs w:val="20"/>
              </w:rPr>
            </w:pPr>
            <w:r>
              <w:rPr>
                <w:rFonts w:asciiTheme="minorHAnsi" w:hAnsiTheme="minorHAnsi"/>
                <w:sz w:val="20"/>
                <w:szCs w:val="20"/>
              </w:rPr>
              <w:t>For generation of country specific data.</w:t>
            </w:r>
          </w:p>
        </w:tc>
        <w:tc>
          <w:tcPr>
            <w:tcW w:w="1817" w:type="dxa"/>
          </w:tcPr>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t>1. The issue of imported/exported biomass for energy has to be solved. IPCC GHG accounting good practice guidance could be used.</w:t>
            </w:r>
          </w:p>
          <w:p w:rsidR="0096449C" w:rsidRPr="00CB01E3" w:rsidRDefault="0096449C" w:rsidP="0096449C">
            <w:pPr>
              <w:pStyle w:val="CommentText"/>
              <w:rPr>
                <w:sz w:val="8"/>
                <w:szCs w:val="8"/>
              </w:rPr>
            </w:pPr>
            <w:r>
              <w:t xml:space="preserve">2. Accounting for potential climate feedbacks. </w:t>
            </w:r>
            <w:r>
              <w:br/>
            </w:r>
          </w:p>
          <w:p w:rsidR="0096449C" w:rsidRDefault="0096449C" w:rsidP="0096449C">
            <w:pPr>
              <w:pStyle w:val="CommentText"/>
            </w:pPr>
            <w:r>
              <w:t>3. Inclusion of potential soil organic carbon (SOC) storage - is this temporary storage? To what soil depth should SOC storage be evaluated? How does this affect timeframe allocation and future land use?</w:t>
            </w:r>
          </w:p>
          <w:p w:rsidR="0096449C" w:rsidRPr="005A5C0A" w:rsidRDefault="0096449C" w:rsidP="0096449C">
            <w:pPr>
              <w:pStyle w:val="Default"/>
              <w:spacing w:after="120"/>
              <w:rPr>
                <w:rFonts w:asciiTheme="minorHAnsi" w:hAnsiTheme="minorHAnsi"/>
                <w:sz w:val="20"/>
                <w:szCs w:val="20"/>
              </w:rPr>
            </w:pPr>
          </w:p>
        </w:tc>
        <w:tc>
          <w:tcPr>
            <w:tcW w:w="2520" w:type="dxa"/>
          </w:tcPr>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t xml:space="preserve">1. Need to distinguish between the attributional and consequential LCAs. Most indirect land use change effects are really part of consequential LCAs and should not be used in attributional LCAs for individual farms/industrial facilities etc. </w:t>
            </w:r>
          </w:p>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t>2. When this indicator is measured, it is recommended to take into account relevant national policies/</w:t>
            </w:r>
            <w:proofErr w:type="spellStart"/>
            <w:r>
              <w:rPr>
                <w:rFonts w:asciiTheme="minorHAnsi" w:hAnsiTheme="minorHAnsi"/>
                <w:sz w:val="20"/>
                <w:szCs w:val="20"/>
              </w:rPr>
              <w:t>programmes</w:t>
            </w:r>
            <w:proofErr w:type="spellEnd"/>
            <w:r>
              <w:rPr>
                <w:rFonts w:asciiTheme="minorHAnsi" w:hAnsiTheme="minorHAnsi"/>
                <w:sz w:val="20"/>
                <w:szCs w:val="20"/>
              </w:rPr>
              <w:t>/standards and international processes (e.g. UNFCCC) and methodologies (e.g. IPCC).</w:t>
            </w:r>
          </w:p>
          <w:p w:rsidR="0096449C" w:rsidRPr="00D12F31" w:rsidRDefault="0096449C" w:rsidP="0096449C">
            <w:pPr>
              <w:pStyle w:val="Default"/>
              <w:spacing w:after="120"/>
              <w:rPr>
                <w:rFonts w:asciiTheme="minorHAnsi" w:hAnsiTheme="minorHAnsi"/>
                <w:sz w:val="20"/>
                <w:szCs w:val="20"/>
              </w:rPr>
            </w:pPr>
          </w:p>
        </w:tc>
      </w:tr>
      <w:tr w:rsidR="0096449C" w:rsidTr="0096449C">
        <w:tc>
          <w:tcPr>
            <w:tcW w:w="1980" w:type="dxa"/>
            <w:vAlign w:val="center"/>
          </w:tcPr>
          <w:p w:rsidR="0096449C" w:rsidRPr="003736FE" w:rsidRDefault="0096449C" w:rsidP="0096449C">
            <w:pPr>
              <w:pStyle w:val="Default"/>
              <w:spacing w:before="480" w:after="480"/>
              <w:rPr>
                <w:sz w:val="18"/>
                <w:szCs w:val="18"/>
              </w:rPr>
            </w:pPr>
            <w:r>
              <w:rPr>
                <w:b/>
                <w:bCs/>
                <w:sz w:val="18"/>
                <w:szCs w:val="18"/>
              </w:rPr>
              <w:t xml:space="preserve">2. Soil quality </w:t>
            </w:r>
          </w:p>
        </w:tc>
        <w:tc>
          <w:tcPr>
            <w:tcW w:w="3068" w:type="dxa"/>
          </w:tcPr>
          <w:p w:rsidR="0096449C" w:rsidRPr="005A5C0A" w:rsidRDefault="0096449C" w:rsidP="0096449C">
            <w:pPr>
              <w:pStyle w:val="Default"/>
              <w:spacing w:after="120"/>
              <w:rPr>
                <w:rFonts w:asciiTheme="minorHAnsi" w:hAnsiTheme="minorHAnsi"/>
                <w:sz w:val="20"/>
                <w:szCs w:val="20"/>
              </w:rPr>
            </w:pPr>
            <w:r>
              <w:rPr>
                <w:rFonts w:asciiTheme="minorHAnsi" w:hAnsiTheme="minorHAnsi"/>
                <w:sz w:val="20"/>
                <w:szCs w:val="20"/>
              </w:rPr>
              <w:t>1.</w:t>
            </w:r>
            <w:r w:rsidRPr="005A5C0A">
              <w:rPr>
                <w:rFonts w:asciiTheme="minorHAnsi" w:hAnsiTheme="minorHAnsi"/>
                <w:sz w:val="20"/>
                <w:szCs w:val="20"/>
              </w:rPr>
              <w:t xml:space="preserve"> More guidance needed on the type of measurement</w:t>
            </w:r>
            <w:r>
              <w:rPr>
                <w:rFonts w:asciiTheme="minorHAnsi" w:hAnsiTheme="minorHAnsi"/>
                <w:sz w:val="20"/>
                <w:szCs w:val="20"/>
              </w:rPr>
              <w:t>,</w:t>
            </w:r>
            <w:r w:rsidRPr="005A5C0A">
              <w:rPr>
                <w:rFonts w:asciiTheme="minorHAnsi" w:hAnsiTheme="minorHAnsi"/>
                <w:sz w:val="20"/>
                <w:szCs w:val="20"/>
              </w:rPr>
              <w:t xml:space="preserve"> </w:t>
            </w:r>
            <w:r>
              <w:rPr>
                <w:rFonts w:asciiTheme="minorHAnsi" w:hAnsiTheme="minorHAnsi"/>
                <w:sz w:val="20"/>
                <w:szCs w:val="20"/>
              </w:rPr>
              <w:t>e.g. soil depth</w:t>
            </w:r>
            <w:r w:rsidRPr="005A5C0A">
              <w:rPr>
                <w:rFonts w:asciiTheme="minorHAnsi" w:hAnsiTheme="minorHAnsi"/>
                <w:sz w:val="20"/>
                <w:szCs w:val="20"/>
              </w:rPr>
              <w:t>.</w:t>
            </w:r>
          </w:p>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t xml:space="preserve">2. </w:t>
            </w:r>
            <w:r w:rsidRPr="00E10A4C">
              <w:rPr>
                <w:rFonts w:asciiTheme="minorHAnsi" w:hAnsiTheme="minorHAnsi"/>
                <w:sz w:val="20"/>
                <w:szCs w:val="20"/>
              </w:rPr>
              <w:t>Data availability might be an issue in some developing countries.</w:t>
            </w:r>
          </w:p>
          <w:p w:rsidR="0096449C" w:rsidRPr="005A5C0A" w:rsidRDefault="0096449C" w:rsidP="0096449C">
            <w:pPr>
              <w:pStyle w:val="Default"/>
              <w:spacing w:after="120"/>
              <w:rPr>
                <w:rFonts w:asciiTheme="minorHAnsi" w:hAnsiTheme="minorHAnsi"/>
                <w:sz w:val="20"/>
                <w:szCs w:val="20"/>
              </w:rPr>
            </w:pPr>
          </w:p>
        </w:tc>
        <w:tc>
          <w:tcPr>
            <w:tcW w:w="2976" w:type="dxa"/>
          </w:tcPr>
          <w:p w:rsidR="0096449C" w:rsidRPr="003C0F47" w:rsidRDefault="0096449C" w:rsidP="0096449C">
            <w:pPr>
              <w:autoSpaceDE w:val="0"/>
              <w:autoSpaceDN w:val="0"/>
              <w:adjustRightInd w:val="0"/>
              <w:rPr>
                <w:rFonts w:cs="Arial"/>
                <w:color w:val="000000"/>
                <w:sz w:val="20"/>
                <w:szCs w:val="20"/>
              </w:rPr>
            </w:pPr>
            <w:r w:rsidRPr="005A5C0A">
              <w:rPr>
                <w:sz w:val="20"/>
                <w:szCs w:val="20"/>
              </w:rPr>
              <w:lastRenderedPageBreak/>
              <w:t>1</w:t>
            </w:r>
            <w:r>
              <w:rPr>
                <w:sz w:val="20"/>
                <w:szCs w:val="20"/>
              </w:rPr>
              <w:t>.</w:t>
            </w:r>
            <w:r w:rsidRPr="005A5C0A">
              <w:rPr>
                <w:sz w:val="20"/>
                <w:szCs w:val="20"/>
              </w:rPr>
              <w:t xml:space="preserve"> </w:t>
            </w:r>
            <w:r>
              <w:rPr>
                <w:sz w:val="20"/>
                <w:szCs w:val="20"/>
              </w:rPr>
              <w:t>In some countries there might be a l</w:t>
            </w:r>
            <w:r w:rsidRPr="005A5C0A">
              <w:rPr>
                <w:sz w:val="20"/>
                <w:szCs w:val="20"/>
              </w:rPr>
              <w:t xml:space="preserve">ack of </w:t>
            </w:r>
            <w:r>
              <w:rPr>
                <w:sz w:val="20"/>
                <w:szCs w:val="20"/>
              </w:rPr>
              <w:t xml:space="preserve">adequate </w:t>
            </w:r>
            <w:r w:rsidRPr="005A5C0A">
              <w:rPr>
                <w:sz w:val="20"/>
                <w:szCs w:val="20"/>
              </w:rPr>
              <w:t>data</w:t>
            </w:r>
            <w:r>
              <w:rPr>
                <w:sz w:val="20"/>
                <w:szCs w:val="20"/>
              </w:rPr>
              <w:t xml:space="preserve">. </w:t>
            </w:r>
            <w:r>
              <w:rPr>
                <w:rFonts w:cs="Arial"/>
                <w:color w:val="000000"/>
                <w:sz w:val="20"/>
                <w:szCs w:val="20"/>
              </w:rPr>
              <w:t>Data on soil organic carbon is particularly limited and primary data campaigns tend to be complex and both time and resource intensive</w:t>
            </w:r>
            <w:r w:rsidRPr="003C0F47">
              <w:rPr>
                <w:rFonts w:cs="Arial"/>
                <w:color w:val="000000"/>
                <w:sz w:val="20"/>
                <w:szCs w:val="20"/>
              </w:rPr>
              <w:t>.</w:t>
            </w:r>
          </w:p>
          <w:p w:rsidR="0096449C" w:rsidRPr="009D2BDC" w:rsidRDefault="0096449C" w:rsidP="0096449C">
            <w:pPr>
              <w:spacing w:after="120"/>
              <w:rPr>
                <w:sz w:val="8"/>
                <w:szCs w:val="8"/>
              </w:rPr>
            </w:pPr>
          </w:p>
          <w:p w:rsidR="0096449C" w:rsidRPr="005A5C0A" w:rsidRDefault="0096449C" w:rsidP="0096449C">
            <w:pPr>
              <w:spacing w:after="120"/>
              <w:rPr>
                <w:sz w:val="20"/>
                <w:szCs w:val="20"/>
              </w:rPr>
            </w:pPr>
            <w:r>
              <w:rPr>
                <w:sz w:val="20"/>
                <w:szCs w:val="20"/>
              </w:rPr>
              <w:t>2. Where data bases exist, data are often under privacy protection. In these cases, c</w:t>
            </w:r>
            <w:r w:rsidRPr="005A5C0A">
              <w:rPr>
                <w:sz w:val="20"/>
                <w:szCs w:val="20"/>
              </w:rPr>
              <w:t>onfidentiality agreements may be necessary.</w:t>
            </w:r>
          </w:p>
        </w:tc>
        <w:tc>
          <w:tcPr>
            <w:tcW w:w="3119" w:type="dxa"/>
          </w:tcPr>
          <w:p w:rsidR="0096449C" w:rsidRPr="005A5C0A" w:rsidRDefault="0096449C" w:rsidP="0096449C">
            <w:pPr>
              <w:pStyle w:val="Default"/>
              <w:spacing w:after="120"/>
              <w:rPr>
                <w:rFonts w:asciiTheme="minorHAnsi" w:hAnsiTheme="minorHAnsi"/>
                <w:sz w:val="20"/>
                <w:szCs w:val="20"/>
              </w:rPr>
            </w:pPr>
            <w:r>
              <w:rPr>
                <w:rFonts w:asciiTheme="minorHAnsi" w:hAnsiTheme="minorHAnsi"/>
                <w:sz w:val="20"/>
                <w:szCs w:val="20"/>
              </w:rPr>
              <w:lastRenderedPageBreak/>
              <w:t>1. Relevant, for field assessments and processing of soil samples.</w:t>
            </w:r>
          </w:p>
        </w:tc>
        <w:tc>
          <w:tcPr>
            <w:tcW w:w="1817" w:type="dxa"/>
          </w:tcPr>
          <w:p w:rsidR="0096449C" w:rsidRPr="005A5C0A" w:rsidRDefault="0096449C" w:rsidP="0096449C">
            <w:pPr>
              <w:pStyle w:val="Default"/>
              <w:spacing w:after="120"/>
              <w:rPr>
                <w:rFonts w:asciiTheme="minorHAnsi" w:hAnsiTheme="minorHAnsi"/>
                <w:sz w:val="20"/>
                <w:szCs w:val="20"/>
              </w:rPr>
            </w:pPr>
            <w:r>
              <w:rPr>
                <w:rFonts w:asciiTheme="minorHAnsi" w:hAnsiTheme="minorHAnsi"/>
                <w:sz w:val="20"/>
                <w:szCs w:val="20"/>
              </w:rPr>
              <w:t>1. Sampling and having the capacity to process samples are the main limiting factors.</w:t>
            </w:r>
          </w:p>
        </w:tc>
        <w:tc>
          <w:tcPr>
            <w:tcW w:w="2520" w:type="dxa"/>
          </w:tcPr>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t>1. When this indicator is measured, it is crucial to define reference conditions in order to compare results at different scales (local vs. national vs. global).</w:t>
            </w:r>
          </w:p>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lastRenderedPageBreak/>
              <w:t>2. The real key is to objectively evaluate soil biological, chemical, and physical properties and processes in a timely and routine manner. Soil quality assessments are not needed every year but only every 5 years or so to measure the direction and magnitude of the trend lines. Is the soil aggrading, degrading, or at least remaining stable?</w:t>
            </w:r>
          </w:p>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t xml:space="preserve">3. Techniques </w:t>
            </w:r>
            <w:r w:rsidRPr="00EB4053">
              <w:rPr>
                <w:rFonts w:asciiTheme="minorHAnsi" w:hAnsiTheme="minorHAnsi"/>
                <w:sz w:val="20"/>
                <w:szCs w:val="20"/>
              </w:rPr>
              <w:t>for measuring</w:t>
            </w:r>
            <w:r>
              <w:rPr>
                <w:rFonts w:asciiTheme="minorHAnsi" w:hAnsiTheme="minorHAnsi"/>
                <w:sz w:val="20"/>
                <w:szCs w:val="20"/>
              </w:rPr>
              <w:t xml:space="preserve"> soil quality need to be consistent across different systems (including soil type, soil depth and feedstock type). For example, t</w:t>
            </w:r>
            <w:r w:rsidRPr="007205F0">
              <w:rPr>
                <w:rFonts w:asciiTheme="minorHAnsi" w:hAnsiTheme="minorHAnsi"/>
                <w:sz w:val="20"/>
                <w:szCs w:val="20"/>
              </w:rPr>
              <w:t>he appropriate depth of measurement for soil indicators depends on depth of soil layers and cultivation practices on a given site and should remain constant over time.</w:t>
            </w:r>
            <w:r>
              <w:rPr>
                <w:rFonts w:asciiTheme="minorHAnsi" w:hAnsiTheme="minorHAnsi"/>
                <w:sz w:val="20"/>
                <w:szCs w:val="20"/>
              </w:rPr>
              <w:t xml:space="preserve">  Soil organic carbon, pH, electrical conductivity, bulk density, N, P, K, and selected soil enzymes are frequently considered to be important components for a minimum data set.  </w:t>
            </w:r>
          </w:p>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t xml:space="preserve">4. </w:t>
            </w:r>
            <w:r w:rsidRPr="003C0F47">
              <w:rPr>
                <w:rFonts w:asciiTheme="minorHAnsi" w:hAnsiTheme="minorHAnsi"/>
                <w:sz w:val="20"/>
                <w:szCs w:val="20"/>
              </w:rPr>
              <w:t>The question of whether</w:t>
            </w:r>
            <w:r>
              <w:rPr>
                <w:rFonts w:asciiTheme="minorHAnsi" w:hAnsiTheme="minorHAnsi"/>
                <w:sz w:val="20"/>
                <w:szCs w:val="20"/>
              </w:rPr>
              <w:t xml:space="preserve"> </w:t>
            </w:r>
            <w:r w:rsidRPr="003C0F47">
              <w:rPr>
                <w:rFonts w:asciiTheme="minorHAnsi" w:hAnsiTheme="minorHAnsi"/>
                <w:sz w:val="20"/>
                <w:szCs w:val="20"/>
              </w:rPr>
              <w:t xml:space="preserve">the GBEP indicator or its methodological approach might be adapted to take account of the impacts on soil quality of the application of </w:t>
            </w:r>
            <w:proofErr w:type="spellStart"/>
            <w:r w:rsidRPr="003C0F47">
              <w:rPr>
                <w:rFonts w:asciiTheme="minorHAnsi" w:hAnsiTheme="minorHAnsi"/>
                <w:sz w:val="20"/>
                <w:szCs w:val="20"/>
              </w:rPr>
              <w:t>vinasse</w:t>
            </w:r>
            <w:proofErr w:type="spellEnd"/>
            <w:r w:rsidRPr="003C0F47">
              <w:rPr>
                <w:rFonts w:asciiTheme="minorHAnsi" w:hAnsiTheme="minorHAnsi"/>
                <w:sz w:val="20"/>
                <w:szCs w:val="20"/>
              </w:rPr>
              <w:t xml:space="preserve">, </w:t>
            </w:r>
            <w:proofErr w:type="spellStart"/>
            <w:r w:rsidRPr="003C0F47">
              <w:rPr>
                <w:rFonts w:asciiTheme="minorHAnsi" w:hAnsiTheme="minorHAnsi"/>
                <w:sz w:val="20"/>
                <w:szCs w:val="20"/>
              </w:rPr>
              <w:lastRenderedPageBreak/>
              <w:t>biocompost</w:t>
            </w:r>
            <w:proofErr w:type="spellEnd"/>
            <w:r w:rsidRPr="003C0F47">
              <w:rPr>
                <w:rFonts w:asciiTheme="minorHAnsi" w:hAnsiTheme="minorHAnsi"/>
                <w:sz w:val="20"/>
                <w:szCs w:val="20"/>
              </w:rPr>
              <w:t xml:space="preserve"> and perhaps residues from the bioenergy production process arose</w:t>
            </w:r>
            <w:r>
              <w:rPr>
                <w:rFonts w:asciiTheme="minorHAnsi" w:hAnsiTheme="minorHAnsi"/>
                <w:sz w:val="20"/>
                <w:szCs w:val="20"/>
              </w:rPr>
              <w:t xml:space="preserve"> in one of the pilot countries.</w:t>
            </w:r>
          </w:p>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t xml:space="preserve">5. Soil quality could be mapped, in order to identify - and focus on - hot spots. </w:t>
            </w:r>
          </w:p>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t>6. A proxy that could be considered is the level of uptake of nationally/locally defined good soil management practices.</w:t>
            </w:r>
          </w:p>
        </w:tc>
      </w:tr>
      <w:tr w:rsidR="0096449C" w:rsidTr="0096449C">
        <w:tc>
          <w:tcPr>
            <w:tcW w:w="1980" w:type="dxa"/>
            <w:vAlign w:val="center"/>
          </w:tcPr>
          <w:p w:rsidR="0096449C" w:rsidRPr="003736FE" w:rsidRDefault="0096449C" w:rsidP="0096449C">
            <w:pPr>
              <w:pStyle w:val="Default"/>
              <w:spacing w:before="480" w:after="480"/>
              <w:rPr>
                <w:sz w:val="18"/>
                <w:szCs w:val="18"/>
              </w:rPr>
            </w:pPr>
            <w:r>
              <w:rPr>
                <w:b/>
                <w:bCs/>
                <w:sz w:val="18"/>
                <w:szCs w:val="18"/>
              </w:rPr>
              <w:lastRenderedPageBreak/>
              <w:t>3. Harvest levels of wood resources</w:t>
            </w:r>
          </w:p>
        </w:tc>
        <w:tc>
          <w:tcPr>
            <w:tcW w:w="3068" w:type="dxa"/>
          </w:tcPr>
          <w:p w:rsidR="0096449C" w:rsidRDefault="0096449C" w:rsidP="0096449C">
            <w:pPr>
              <w:spacing w:before="120" w:after="120"/>
              <w:rPr>
                <w:sz w:val="20"/>
                <w:szCs w:val="20"/>
              </w:rPr>
            </w:pPr>
            <w:r>
              <w:rPr>
                <w:sz w:val="20"/>
                <w:szCs w:val="20"/>
              </w:rPr>
              <w:t xml:space="preserve">1. </w:t>
            </w:r>
            <w:r w:rsidRPr="006425B0">
              <w:rPr>
                <w:sz w:val="20"/>
                <w:szCs w:val="20"/>
              </w:rPr>
              <w:t xml:space="preserve">Data availability might be an issue in </w:t>
            </w:r>
            <w:r>
              <w:rPr>
                <w:sz w:val="20"/>
                <w:szCs w:val="20"/>
              </w:rPr>
              <w:t xml:space="preserve">some </w:t>
            </w:r>
            <w:r w:rsidRPr="006425B0">
              <w:rPr>
                <w:sz w:val="20"/>
                <w:szCs w:val="20"/>
              </w:rPr>
              <w:t>developing countries</w:t>
            </w:r>
            <w:r>
              <w:rPr>
                <w:sz w:val="20"/>
                <w:szCs w:val="20"/>
              </w:rPr>
              <w:t>.</w:t>
            </w:r>
          </w:p>
          <w:p w:rsidR="0096449C" w:rsidRDefault="0096449C" w:rsidP="0096449C">
            <w:pPr>
              <w:spacing w:before="120" w:after="120"/>
              <w:rPr>
                <w:sz w:val="20"/>
                <w:szCs w:val="20"/>
              </w:rPr>
            </w:pPr>
            <w:r>
              <w:rPr>
                <w:sz w:val="20"/>
                <w:szCs w:val="20"/>
              </w:rPr>
              <w:t xml:space="preserve">2. In some cases it might be challenging to determine the share of </w:t>
            </w:r>
            <w:proofErr w:type="spellStart"/>
            <w:r>
              <w:rPr>
                <w:sz w:val="20"/>
                <w:szCs w:val="20"/>
              </w:rPr>
              <w:t>woodfuel</w:t>
            </w:r>
            <w:proofErr w:type="spellEnd"/>
            <w:r>
              <w:rPr>
                <w:sz w:val="20"/>
                <w:szCs w:val="20"/>
              </w:rPr>
              <w:t xml:space="preserve"> coming from forests.</w:t>
            </w:r>
          </w:p>
          <w:p w:rsidR="0096449C" w:rsidRPr="005A5C0A" w:rsidRDefault="0096449C" w:rsidP="0096449C">
            <w:pPr>
              <w:spacing w:before="120" w:after="120"/>
              <w:rPr>
                <w:sz w:val="20"/>
                <w:szCs w:val="20"/>
              </w:rPr>
            </w:pPr>
          </w:p>
        </w:tc>
        <w:tc>
          <w:tcPr>
            <w:tcW w:w="2976" w:type="dxa"/>
          </w:tcPr>
          <w:p w:rsidR="0096449C" w:rsidRDefault="0096449C" w:rsidP="0096449C">
            <w:pPr>
              <w:spacing w:after="120"/>
              <w:rPr>
                <w:sz w:val="20"/>
                <w:szCs w:val="20"/>
              </w:rPr>
            </w:pPr>
            <w:r>
              <w:rPr>
                <w:sz w:val="20"/>
                <w:szCs w:val="20"/>
              </w:rPr>
              <w:t>1.</w:t>
            </w:r>
            <w:r w:rsidRPr="005A5C0A">
              <w:rPr>
                <w:sz w:val="20"/>
                <w:szCs w:val="20"/>
              </w:rPr>
              <w:t xml:space="preserve"> Lack of forest inventor</w:t>
            </w:r>
            <w:r>
              <w:rPr>
                <w:sz w:val="20"/>
                <w:szCs w:val="20"/>
              </w:rPr>
              <w:t>ies</w:t>
            </w:r>
            <w:r w:rsidRPr="005A5C0A">
              <w:rPr>
                <w:sz w:val="20"/>
                <w:szCs w:val="20"/>
              </w:rPr>
              <w:t>.</w:t>
            </w:r>
          </w:p>
          <w:p w:rsidR="0096449C" w:rsidRPr="005A5C0A" w:rsidRDefault="0096449C" w:rsidP="0096449C">
            <w:pPr>
              <w:spacing w:after="120"/>
              <w:rPr>
                <w:sz w:val="20"/>
                <w:szCs w:val="20"/>
              </w:rPr>
            </w:pPr>
            <w:r>
              <w:rPr>
                <w:sz w:val="20"/>
                <w:szCs w:val="20"/>
              </w:rPr>
              <w:t>2. Possible lack of data on net growth or sustained yield.</w:t>
            </w:r>
          </w:p>
          <w:p w:rsidR="0096449C" w:rsidRDefault="0096449C" w:rsidP="0096449C">
            <w:pPr>
              <w:spacing w:after="120"/>
              <w:rPr>
                <w:sz w:val="20"/>
                <w:szCs w:val="20"/>
              </w:rPr>
            </w:pPr>
            <w:r>
              <w:rPr>
                <w:sz w:val="20"/>
                <w:szCs w:val="20"/>
              </w:rPr>
              <w:t>3.</w:t>
            </w:r>
            <w:r w:rsidRPr="005A5C0A">
              <w:rPr>
                <w:sz w:val="20"/>
                <w:szCs w:val="20"/>
              </w:rPr>
              <w:t xml:space="preserve"> </w:t>
            </w:r>
            <w:r>
              <w:rPr>
                <w:sz w:val="20"/>
                <w:szCs w:val="20"/>
              </w:rPr>
              <w:t xml:space="preserve">Usually </w:t>
            </w:r>
            <w:proofErr w:type="spellStart"/>
            <w:r>
              <w:rPr>
                <w:sz w:val="20"/>
                <w:szCs w:val="20"/>
              </w:rPr>
              <w:t>woodfuel</w:t>
            </w:r>
            <w:proofErr w:type="spellEnd"/>
            <w:r>
              <w:rPr>
                <w:sz w:val="20"/>
                <w:szCs w:val="20"/>
              </w:rPr>
              <w:t xml:space="preserve"> is informally harvested and thus official data might not be available.</w:t>
            </w:r>
          </w:p>
          <w:p w:rsidR="0096449C" w:rsidRPr="005A5C0A" w:rsidRDefault="0096449C" w:rsidP="0096449C">
            <w:pPr>
              <w:spacing w:after="120"/>
              <w:rPr>
                <w:sz w:val="20"/>
                <w:szCs w:val="20"/>
              </w:rPr>
            </w:pPr>
            <w:r>
              <w:rPr>
                <w:sz w:val="20"/>
                <w:szCs w:val="20"/>
              </w:rPr>
              <w:t xml:space="preserve">4. The quality of data on </w:t>
            </w:r>
            <w:proofErr w:type="spellStart"/>
            <w:r>
              <w:rPr>
                <w:sz w:val="20"/>
                <w:szCs w:val="20"/>
              </w:rPr>
              <w:t>woodfuel</w:t>
            </w:r>
            <w:proofErr w:type="spellEnd"/>
            <w:r>
              <w:rPr>
                <w:sz w:val="20"/>
                <w:szCs w:val="20"/>
              </w:rPr>
              <w:t xml:space="preserve"> consumption could be improved by conducting surveys to determine household and commercial </w:t>
            </w:r>
            <w:proofErr w:type="spellStart"/>
            <w:r>
              <w:rPr>
                <w:sz w:val="20"/>
                <w:szCs w:val="20"/>
              </w:rPr>
              <w:t>woodfuel</w:t>
            </w:r>
            <w:proofErr w:type="spellEnd"/>
            <w:r>
              <w:rPr>
                <w:sz w:val="20"/>
                <w:szCs w:val="20"/>
              </w:rPr>
              <w:t xml:space="preserve"> consumption and production at district level and transportation of </w:t>
            </w:r>
            <w:proofErr w:type="spellStart"/>
            <w:r>
              <w:rPr>
                <w:sz w:val="20"/>
                <w:szCs w:val="20"/>
              </w:rPr>
              <w:t>woodfuel</w:t>
            </w:r>
            <w:proofErr w:type="spellEnd"/>
            <w:r>
              <w:rPr>
                <w:sz w:val="20"/>
                <w:szCs w:val="20"/>
              </w:rPr>
              <w:t xml:space="preserve"> outside the district.</w:t>
            </w:r>
          </w:p>
        </w:tc>
        <w:tc>
          <w:tcPr>
            <w:tcW w:w="3119" w:type="dxa"/>
          </w:tcPr>
          <w:p w:rsidR="0096449C" w:rsidRPr="005A5C0A" w:rsidRDefault="0096449C" w:rsidP="0096449C">
            <w:pPr>
              <w:spacing w:after="120"/>
              <w:rPr>
                <w:sz w:val="20"/>
                <w:szCs w:val="20"/>
              </w:rPr>
            </w:pPr>
            <w:r>
              <w:rPr>
                <w:sz w:val="20"/>
                <w:szCs w:val="20"/>
              </w:rPr>
              <w:t>1. Relevant.</w:t>
            </w:r>
          </w:p>
        </w:tc>
        <w:tc>
          <w:tcPr>
            <w:tcW w:w="1817" w:type="dxa"/>
          </w:tcPr>
          <w:p w:rsidR="0096449C" w:rsidRPr="005A5C0A" w:rsidRDefault="0096449C" w:rsidP="0096449C">
            <w:pPr>
              <w:spacing w:after="120"/>
              <w:rPr>
                <w:sz w:val="20"/>
                <w:szCs w:val="20"/>
              </w:rPr>
            </w:pPr>
          </w:p>
        </w:tc>
        <w:tc>
          <w:tcPr>
            <w:tcW w:w="2520" w:type="dxa"/>
          </w:tcPr>
          <w:p w:rsidR="0096449C" w:rsidRDefault="0096449C" w:rsidP="0096449C">
            <w:pPr>
              <w:pStyle w:val="Default"/>
              <w:spacing w:before="120" w:after="120"/>
              <w:rPr>
                <w:rFonts w:asciiTheme="minorHAnsi" w:hAnsiTheme="minorHAnsi"/>
                <w:sz w:val="20"/>
                <w:szCs w:val="20"/>
              </w:rPr>
            </w:pPr>
            <w:r>
              <w:rPr>
                <w:rFonts w:asciiTheme="minorHAnsi" w:hAnsiTheme="minorHAnsi"/>
                <w:sz w:val="20"/>
                <w:szCs w:val="20"/>
              </w:rPr>
              <w:t>1. Connecting with REDD reports.</w:t>
            </w:r>
          </w:p>
          <w:p w:rsidR="0096449C" w:rsidRDefault="0096449C" w:rsidP="0096449C">
            <w:pPr>
              <w:pStyle w:val="Default"/>
              <w:spacing w:before="120" w:after="120"/>
              <w:rPr>
                <w:rFonts w:asciiTheme="minorHAnsi" w:hAnsiTheme="minorHAnsi"/>
                <w:sz w:val="20"/>
                <w:szCs w:val="20"/>
              </w:rPr>
            </w:pPr>
            <w:r>
              <w:rPr>
                <w:rFonts w:asciiTheme="minorHAnsi" w:hAnsiTheme="minorHAnsi"/>
                <w:sz w:val="20"/>
                <w:szCs w:val="20"/>
              </w:rPr>
              <w:t>2. The</w:t>
            </w:r>
            <w:r w:rsidRPr="005B70E2">
              <w:rPr>
                <w:rFonts w:asciiTheme="minorHAnsi" w:hAnsiTheme="minorHAnsi"/>
                <w:sz w:val="20"/>
                <w:szCs w:val="20"/>
              </w:rPr>
              <w:t xml:space="preserve"> counterfactual reality needs to be considered in analyses that attempt to evaluate forest harvest rates.  </w:t>
            </w:r>
            <w:r>
              <w:rPr>
                <w:rFonts w:asciiTheme="minorHAnsi" w:hAnsiTheme="minorHAnsi"/>
                <w:sz w:val="20"/>
                <w:szCs w:val="20"/>
              </w:rPr>
              <w:t>For example, the alternative of leaving large debris piles in the woods or of burning those piles needs to be considered.</w:t>
            </w:r>
            <w:r w:rsidRPr="005B70E2">
              <w:rPr>
                <w:rFonts w:asciiTheme="minorHAnsi" w:hAnsiTheme="minorHAnsi"/>
                <w:sz w:val="20"/>
                <w:szCs w:val="20"/>
              </w:rPr>
              <w:t xml:space="preserve">  </w:t>
            </w:r>
          </w:p>
          <w:p w:rsidR="0096449C" w:rsidRPr="002908B6" w:rsidRDefault="0096449C" w:rsidP="0096449C">
            <w:pPr>
              <w:pStyle w:val="default0"/>
              <w:spacing w:before="120"/>
              <w:rPr>
                <w:color w:val="000000"/>
                <w:sz w:val="20"/>
                <w:szCs w:val="20"/>
              </w:rPr>
            </w:pPr>
            <w:r>
              <w:rPr>
                <w:sz w:val="20"/>
                <w:szCs w:val="20"/>
              </w:rPr>
              <w:t>3.</w:t>
            </w:r>
            <w:r w:rsidRPr="002908B6">
              <w:rPr>
                <w:sz w:val="20"/>
                <w:szCs w:val="20"/>
              </w:rPr>
              <w:t xml:space="preserve"> </w:t>
            </w:r>
            <w:r w:rsidRPr="002908B6">
              <w:rPr>
                <w:color w:val="000000"/>
                <w:sz w:val="20"/>
                <w:szCs w:val="20"/>
              </w:rPr>
              <w:t>Among the natural phenomena affecting forest productivity and causing fluctuations in annual harvest levels, fires should be considered as well in addition to adverse weather and outbreaks of pests.</w:t>
            </w:r>
          </w:p>
          <w:p w:rsidR="0096449C" w:rsidRPr="002908B6" w:rsidRDefault="0096449C" w:rsidP="0096449C">
            <w:pPr>
              <w:pStyle w:val="default0"/>
              <w:spacing w:before="120"/>
              <w:rPr>
                <w:color w:val="000000"/>
                <w:sz w:val="20"/>
                <w:szCs w:val="20"/>
              </w:rPr>
            </w:pPr>
            <w:r>
              <w:rPr>
                <w:color w:val="000000"/>
                <w:sz w:val="20"/>
                <w:szCs w:val="20"/>
              </w:rPr>
              <w:t>4.</w:t>
            </w:r>
            <w:r w:rsidRPr="002908B6">
              <w:rPr>
                <w:color w:val="000000"/>
                <w:sz w:val="20"/>
                <w:szCs w:val="20"/>
              </w:rPr>
              <w:t xml:space="preserve"> Harvest of wood and its use for bioenergy under </w:t>
            </w:r>
            <w:proofErr w:type="spellStart"/>
            <w:r w:rsidRPr="002908B6">
              <w:rPr>
                <w:color w:val="000000"/>
                <w:sz w:val="20"/>
                <w:szCs w:val="20"/>
              </w:rPr>
              <w:t>programmes</w:t>
            </w:r>
            <w:proofErr w:type="spellEnd"/>
            <w:r w:rsidRPr="002908B6">
              <w:rPr>
                <w:color w:val="000000"/>
                <w:sz w:val="20"/>
                <w:szCs w:val="20"/>
              </w:rPr>
              <w:t xml:space="preserve"> aimed at eradicating invasive alien plants (e.g. the ‘Working for Water’ </w:t>
            </w:r>
            <w:proofErr w:type="spellStart"/>
            <w:r w:rsidRPr="002908B6">
              <w:rPr>
                <w:color w:val="000000"/>
                <w:sz w:val="20"/>
                <w:szCs w:val="20"/>
              </w:rPr>
              <w:t>programme</w:t>
            </w:r>
            <w:proofErr w:type="spellEnd"/>
            <w:r w:rsidRPr="002908B6">
              <w:rPr>
                <w:color w:val="000000"/>
                <w:sz w:val="20"/>
                <w:szCs w:val="20"/>
              </w:rPr>
              <w:t xml:space="preserve"> in South Africa) should be accounted </w:t>
            </w:r>
            <w:r w:rsidRPr="002908B6">
              <w:rPr>
                <w:color w:val="000000"/>
                <w:sz w:val="20"/>
                <w:szCs w:val="20"/>
              </w:rPr>
              <w:lastRenderedPageBreak/>
              <w:t>for separately.</w:t>
            </w:r>
          </w:p>
          <w:p w:rsidR="0096449C" w:rsidRPr="002275F0" w:rsidRDefault="0096449C" w:rsidP="0096449C">
            <w:pPr>
              <w:pStyle w:val="Default"/>
              <w:spacing w:before="120" w:after="120"/>
              <w:rPr>
                <w:rFonts w:asciiTheme="minorHAnsi" w:hAnsiTheme="minorHAnsi"/>
                <w:sz w:val="20"/>
                <w:szCs w:val="20"/>
              </w:rPr>
            </w:pPr>
            <w:r>
              <w:rPr>
                <w:rFonts w:asciiTheme="minorHAnsi" w:hAnsiTheme="minorHAnsi"/>
                <w:sz w:val="20"/>
                <w:szCs w:val="20"/>
              </w:rPr>
              <w:t xml:space="preserve">5. </w:t>
            </w:r>
            <w:r w:rsidRPr="002275F0">
              <w:rPr>
                <w:rFonts w:asciiTheme="minorHAnsi" w:hAnsiTheme="minorHAnsi"/>
                <w:sz w:val="20"/>
                <w:szCs w:val="20"/>
              </w:rPr>
              <w:t xml:space="preserve">In the lack of information about net growth or </w:t>
            </w:r>
            <w:r>
              <w:rPr>
                <w:rFonts w:asciiTheme="minorHAnsi" w:hAnsiTheme="minorHAnsi"/>
                <w:sz w:val="20"/>
                <w:szCs w:val="20"/>
              </w:rPr>
              <w:t>s</w:t>
            </w:r>
            <w:r w:rsidRPr="002275F0">
              <w:rPr>
                <w:rFonts w:asciiTheme="minorHAnsi" w:hAnsiTheme="minorHAnsi"/>
                <w:sz w:val="20"/>
                <w:szCs w:val="20"/>
              </w:rPr>
              <w:t>ustained yield, a possible alternative</w:t>
            </w:r>
            <w:r>
              <w:rPr>
                <w:rFonts w:asciiTheme="minorHAnsi" w:hAnsiTheme="minorHAnsi"/>
                <w:sz w:val="20"/>
                <w:szCs w:val="20"/>
              </w:rPr>
              <w:t xml:space="preserve"> </w:t>
            </w:r>
            <w:r w:rsidRPr="002275F0">
              <w:rPr>
                <w:rFonts w:asciiTheme="minorHAnsi" w:hAnsiTheme="minorHAnsi"/>
                <w:sz w:val="20"/>
                <w:szCs w:val="20"/>
              </w:rPr>
              <w:t>would be to undertake surveys</w:t>
            </w:r>
            <w:r>
              <w:rPr>
                <w:rFonts w:asciiTheme="minorHAnsi" w:hAnsiTheme="minorHAnsi"/>
                <w:sz w:val="20"/>
                <w:szCs w:val="20"/>
              </w:rPr>
              <w:t xml:space="preserve"> (which, however, could be costly)</w:t>
            </w:r>
            <w:r w:rsidRPr="002275F0">
              <w:rPr>
                <w:rFonts w:asciiTheme="minorHAnsi" w:hAnsiTheme="minorHAnsi"/>
                <w:sz w:val="20"/>
                <w:szCs w:val="20"/>
              </w:rPr>
              <w:t xml:space="preserve"> and a literature review regarding the state of a</w:t>
            </w:r>
            <w:r>
              <w:rPr>
                <w:rFonts w:asciiTheme="minorHAnsi" w:hAnsiTheme="minorHAnsi"/>
                <w:sz w:val="20"/>
                <w:szCs w:val="20"/>
              </w:rPr>
              <w:t xml:space="preserve"> </w:t>
            </w:r>
            <w:r w:rsidRPr="002275F0">
              <w:rPr>
                <w:rFonts w:asciiTheme="minorHAnsi" w:hAnsiTheme="minorHAnsi"/>
                <w:sz w:val="20"/>
                <w:szCs w:val="20"/>
              </w:rPr>
              <w:t>country’s managed forests to determine if over-harvesting is considered to have</w:t>
            </w:r>
            <w:r>
              <w:rPr>
                <w:rFonts w:asciiTheme="minorHAnsi" w:hAnsiTheme="minorHAnsi"/>
                <w:sz w:val="20"/>
                <w:szCs w:val="20"/>
              </w:rPr>
              <w:t xml:space="preserve"> </w:t>
            </w:r>
            <w:r w:rsidRPr="002275F0">
              <w:rPr>
                <w:rFonts w:asciiTheme="minorHAnsi" w:hAnsiTheme="minorHAnsi"/>
                <w:sz w:val="20"/>
                <w:szCs w:val="20"/>
              </w:rPr>
              <w:t>occurred and, if so, where. This information could then be overlaid with the</w:t>
            </w:r>
            <w:r>
              <w:rPr>
                <w:rFonts w:asciiTheme="minorHAnsi" w:hAnsiTheme="minorHAnsi"/>
                <w:sz w:val="20"/>
                <w:szCs w:val="20"/>
              </w:rPr>
              <w:t xml:space="preserve"> </w:t>
            </w:r>
            <w:r w:rsidRPr="002275F0">
              <w:rPr>
                <w:rFonts w:asciiTheme="minorHAnsi" w:hAnsiTheme="minorHAnsi"/>
                <w:sz w:val="20"/>
                <w:szCs w:val="20"/>
              </w:rPr>
              <w:t>information on sources of wood for modern energy purposes.</w:t>
            </w:r>
          </w:p>
          <w:p w:rsidR="0096449C" w:rsidRPr="002275F0" w:rsidRDefault="0096449C" w:rsidP="0096449C">
            <w:pPr>
              <w:pStyle w:val="Default"/>
              <w:spacing w:after="120"/>
              <w:rPr>
                <w:rFonts w:asciiTheme="minorHAnsi" w:hAnsiTheme="minorHAnsi"/>
                <w:sz w:val="20"/>
                <w:szCs w:val="20"/>
              </w:rPr>
            </w:pPr>
            <w:r>
              <w:rPr>
                <w:rFonts w:asciiTheme="minorHAnsi" w:hAnsiTheme="minorHAnsi"/>
                <w:sz w:val="20"/>
                <w:szCs w:val="20"/>
              </w:rPr>
              <w:t xml:space="preserve">6. </w:t>
            </w:r>
            <w:r w:rsidRPr="002275F0">
              <w:rPr>
                <w:rFonts w:asciiTheme="minorHAnsi" w:hAnsiTheme="minorHAnsi"/>
                <w:sz w:val="20"/>
                <w:szCs w:val="20"/>
              </w:rPr>
              <w:t xml:space="preserve">In order to understand the way in which </w:t>
            </w:r>
            <w:proofErr w:type="spellStart"/>
            <w:r w:rsidRPr="002275F0">
              <w:rPr>
                <w:rFonts w:asciiTheme="minorHAnsi" w:hAnsiTheme="minorHAnsi"/>
                <w:sz w:val="20"/>
                <w:szCs w:val="20"/>
              </w:rPr>
              <w:t>woodfuel</w:t>
            </w:r>
            <w:proofErr w:type="spellEnd"/>
            <w:r w:rsidRPr="002275F0">
              <w:rPr>
                <w:rFonts w:asciiTheme="minorHAnsi" w:hAnsiTheme="minorHAnsi"/>
                <w:sz w:val="20"/>
                <w:szCs w:val="20"/>
              </w:rPr>
              <w:t xml:space="preserve"> use affects the </w:t>
            </w:r>
            <w:r>
              <w:rPr>
                <w:rFonts w:asciiTheme="minorHAnsi" w:hAnsiTheme="minorHAnsi"/>
                <w:sz w:val="20"/>
                <w:szCs w:val="20"/>
              </w:rPr>
              <w:t>s</w:t>
            </w:r>
            <w:r w:rsidRPr="002275F0">
              <w:rPr>
                <w:rFonts w:asciiTheme="minorHAnsi" w:hAnsiTheme="minorHAnsi"/>
                <w:sz w:val="20"/>
                <w:szCs w:val="20"/>
              </w:rPr>
              <w:t>ustainability of</w:t>
            </w:r>
            <w:r>
              <w:rPr>
                <w:rFonts w:asciiTheme="minorHAnsi" w:hAnsiTheme="minorHAnsi"/>
                <w:sz w:val="20"/>
                <w:szCs w:val="20"/>
              </w:rPr>
              <w:t xml:space="preserve"> </w:t>
            </w:r>
            <w:r w:rsidRPr="002275F0">
              <w:rPr>
                <w:rFonts w:asciiTheme="minorHAnsi" w:hAnsiTheme="minorHAnsi"/>
                <w:sz w:val="20"/>
                <w:szCs w:val="20"/>
              </w:rPr>
              <w:t xml:space="preserve">wood harvesting, it would be useful to gather </w:t>
            </w:r>
            <w:r>
              <w:rPr>
                <w:rFonts w:asciiTheme="minorHAnsi" w:hAnsiTheme="minorHAnsi"/>
                <w:sz w:val="20"/>
                <w:szCs w:val="20"/>
              </w:rPr>
              <w:t>i</w:t>
            </w:r>
            <w:r w:rsidRPr="002275F0">
              <w:rPr>
                <w:rFonts w:asciiTheme="minorHAnsi" w:hAnsiTheme="minorHAnsi"/>
                <w:sz w:val="20"/>
                <w:szCs w:val="20"/>
              </w:rPr>
              <w:t>nformation on the end use and, in</w:t>
            </w:r>
            <w:r>
              <w:rPr>
                <w:rFonts w:asciiTheme="minorHAnsi" w:hAnsiTheme="minorHAnsi"/>
                <w:sz w:val="20"/>
                <w:szCs w:val="20"/>
              </w:rPr>
              <w:t xml:space="preserve"> </w:t>
            </w:r>
            <w:r w:rsidRPr="002275F0">
              <w:rPr>
                <w:rFonts w:asciiTheme="minorHAnsi" w:hAnsiTheme="minorHAnsi"/>
                <w:sz w:val="20"/>
                <w:szCs w:val="20"/>
              </w:rPr>
              <w:t>particular, the use efficiency</w:t>
            </w:r>
            <w:r>
              <w:rPr>
                <w:rFonts w:asciiTheme="minorHAnsi" w:hAnsiTheme="minorHAnsi"/>
                <w:sz w:val="20"/>
                <w:szCs w:val="20"/>
              </w:rPr>
              <w:t xml:space="preserve">. </w:t>
            </w:r>
          </w:p>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t xml:space="preserve">7. The indicator could be improved by developing a methodology to determine the </w:t>
            </w:r>
            <w:r w:rsidRPr="002275F0">
              <w:rPr>
                <w:rFonts w:asciiTheme="minorHAnsi" w:hAnsiTheme="minorHAnsi"/>
                <w:sz w:val="20"/>
                <w:szCs w:val="20"/>
              </w:rPr>
              <w:t>impact</w:t>
            </w:r>
            <w:r>
              <w:rPr>
                <w:rFonts w:asciiTheme="minorHAnsi" w:hAnsiTheme="minorHAnsi"/>
                <w:sz w:val="20"/>
                <w:szCs w:val="20"/>
              </w:rPr>
              <w:t xml:space="preserve"> of bioenergy production on the </w:t>
            </w:r>
            <w:r w:rsidRPr="002275F0">
              <w:rPr>
                <w:rFonts w:asciiTheme="minorHAnsi" w:hAnsiTheme="minorHAnsi"/>
                <w:sz w:val="20"/>
                <w:szCs w:val="20"/>
              </w:rPr>
              <w:t>traditional uses</w:t>
            </w:r>
            <w:r>
              <w:rPr>
                <w:rFonts w:asciiTheme="minorHAnsi" w:hAnsiTheme="minorHAnsi"/>
                <w:sz w:val="20"/>
                <w:szCs w:val="20"/>
              </w:rPr>
              <w:t xml:space="preserve"> </w:t>
            </w:r>
            <w:r w:rsidRPr="002275F0">
              <w:rPr>
                <w:rFonts w:asciiTheme="minorHAnsi" w:hAnsiTheme="minorHAnsi"/>
                <w:sz w:val="20"/>
                <w:szCs w:val="20"/>
              </w:rPr>
              <w:t>of biomass.</w:t>
            </w:r>
          </w:p>
          <w:p w:rsidR="0096449C" w:rsidRDefault="0096449C" w:rsidP="0096449C">
            <w:pPr>
              <w:pStyle w:val="Default"/>
              <w:spacing w:after="120"/>
              <w:rPr>
                <w:rFonts w:asciiTheme="minorHAnsi" w:hAnsiTheme="minorHAnsi"/>
                <w:sz w:val="20"/>
                <w:szCs w:val="20"/>
              </w:rPr>
            </w:pPr>
          </w:p>
          <w:p w:rsidR="0096449C" w:rsidRPr="00D12F31" w:rsidRDefault="0096449C" w:rsidP="0096449C">
            <w:pPr>
              <w:pStyle w:val="Default"/>
              <w:spacing w:after="120"/>
              <w:rPr>
                <w:rFonts w:asciiTheme="minorHAnsi" w:hAnsiTheme="minorHAnsi"/>
                <w:sz w:val="20"/>
                <w:szCs w:val="20"/>
              </w:rPr>
            </w:pPr>
          </w:p>
        </w:tc>
      </w:tr>
      <w:tr w:rsidR="0096449C" w:rsidTr="0096449C">
        <w:tc>
          <w:tcPr>
            <w:tcW w:w="1980" w:type="dxa"/>
            <w:vAlign w:val="center"/>
          </w:tcPr>
          <w:p w:rsidR="0096449C" w:rsidRPr="003736FE" w:rsidRDefault="0096449C" w:rsidP="0096449C">
            <w:pPr>
              <w:pStyle w:val="Default"/>
              <w:spacing w:before="480" w:after="480"/>
              <w:rPr>
                <w:sz w:val="18"/>
                <w:szCs w:val="18"/>
              </w:rPr>
            </w:pPr>
            <w:r w:rsidRPr="00BA05B7">
              <w:rPr>
                <w:b/>
                <w:bCs/>
                <w:sz w:val="18"/>
                <w:szCs w:val="18"/>
              </w:rPr>
              <w:lastRenderedPageBreak/>
              <w:t xml:space="preserve">4. Emissions of non- GHG air pollutants, </w:t>
            </w:r>
            <w:r w:rsidRPr="00BA05B7">
              <w:rPr>
                <w:b/>
                <w:bCs/>
                <w:sz w:val="18"/>
                <w:szCs w:val="18"/>
              </w:rPr>
              <w:lastRenderedPageBreak/>
              <w:t>including air toxics</w:t>
            </w:r>
            <w:r>
              <w:rPr>
                <w:b/>
                <w:bCs/>
                <w:sz w:val="18"/>
                <w:szCs w:val="18"/>
              </w:rPr>
              <w:t xml:space="preserve"> </w:t>
            </w:r>
          </w:p>
        </w:tc>
        <w:tc>
          <w:tcPr>
            <w:tcW w:w="3068" w:type="dxa"/>
          </w:tcPr>
          <w:p w:rsidR="0096449C" w:rsidRPr="005A5C0A" w:rsidRDefault="0096449C" w:rsidP="0096449C">
            <w:pPr>
              <w:spacing w:after="120"/>
              <w:rPr>
                <w:sz w:val="20"/>
                <w:szCs w:val="20"/>
              </w:rPr>
            </w:pPr>
            <w:r w:rsidRPr="005A5C0A">
              <w:rPr>
                <w:sz w:val="20"/>
                <w:szCs w:val="20"/>
              </w:rPr>
              <w:lastRenderedPageBreak/>
              <w:t>1</w:t>
            </w:r>
            <w:r>
              <w:rPr>
                <w:sz w:val="20"/>
                <w:szCs w:val="20"/>
              </w:rPr>
              <w:t>.</w:t>
            </w:r>
            <w:r w:rsidRPr="005A5C0A">
              <w:rPr>
                <w:sz w:val="20"/>
                <w:szCs w:val="20"/>
              </w:rPr>
              <w:t xml:space="preserve"> </w:t>
            </w:r>
            <w:r>
              <w:rPr>
                <w:sz w:val="20"/>
                <w:szCs w:val="20"/>
              </w:rPr>
              <w:t xml:space="preserve">Overall, the measurement of this indicator is quite burdensome. </w:t>
            </w:r>
            <w:r w:rsidRPr="005A5C0A">
              <w:rPr>
                <w:sz w:val="20"/>
                <w:szCs w:val="20"/>
              </w:rPr>
              <w:t xml:space="preserve"> </w:t>
            </w:r>
          </w:p>
          <w:p w:rsidR="0096449C" w:rsidRPr="005A5C0A" w:rsidRDefault="0096449C" w:rsidP="0096449C">
            <w:pPr>
              <w:spacing w:after="120"/>
              <w:rPr>
                <w:sz w:val="20"/>
                <w:szCs w:val="20"/>
              </w:rPr>
            </w:pPr>
            <w:r>
              <w:rPr>
                <w:sz w:val="20"/>
                <w:szCs w:val="20"/>
              </w:rPr>
              <w:t xml:space="preserve">2. This indicator is very skill </w:t>
            </w:r>
            <w:r>
              <w:rPr>
                <w:sz w:val="20"/>
                <w:szCs w:val="20"/>
              </w:rPr>
              <w:lastRenderedPageBreak/>
              <w:t xml:space="preserve">intensive and requires the involvement of a team of expert chemists and engineers. </w:t>
            </w:r>
          </w:p>
        </w:tc>
        <w:tc>
          <w:tcPr>
            <w:tcW w:w="2976" w:type="dxa"/>
          </w:tcPr>
          <w:p w:rsidR="0096449C" w:rsidRDefault="0096449C" w:rsidP="0096449C">
            <w:pPr>
              <w:spacing w:after="120"/>
              <w:rPr>
                <w:rFonts w:ascii="Calibri" w:hAnsi="Calibri" w:cs="Calibri"/>
                <w:sz w:val="20"/>
                <w:szCs w:val="20"/>
              </w:rPr>
            </w:pPr>
            <w:r>
              <w:rPr>
                <w:sz w:val="20"/>
                <w:szCs w:val="20"/>
              </w:rPr>
              <w:lastRenderedPageBreak/>
              <w:t>1.</w:t>
            </w:r>
            <w:r w:rsidRPr="00D636F6">
              <w:rPr>
                <w:sz w:val="20"/>
                <w:szCs w:val="20"/>
              </w:rPr>
              <w:t xml:space="preserve"> </w:t>
            </w:r>
            <w:r w:rsidRPr="00D636F6">
              <w:rPr>
                <w:rFonts w:ascii="Calibri" w:hAnsi="Calibri" w:cs="Calibri"/>
                <w:sz w:val="20"/>
                <w:szCs w:val="20"/>
              </w:rPr>
              <w:t xml:space="preserve">Datasets </w:t>
            </w:r>
            <w:r>
              <w:rPr>
                <w:rFonts w:ascii="Calibri" w:hAnsi="Calibri" w:cs="Calibri"/>
                <w:sz w:val="20"/>
                <w:szCs w:val="20"/>
              </w:rPr>
              <w:t xml:space="preserve">and default values </w:t>
            </w:r>
            <w:r w:rsidRPr="00D636F6">
              <w:rPr>
                <w:rFonts w:ascii="Calibri" w:hAnsi="Calibri" w:cs="Calibri"/>
                <w:sz w:val="20"/>
                <w:szCs w:val="20"/>
              </w:rPr>
              <w:t>are available, but there is a need to improve data quality. Moreover, emission factors ma</w:t>
            </w:r>
            <w:r>
              <w:rPr>
                <w:rFonts w:ascii="Calibri" w:hAnsi="Calibri" w:cs="Calibri"/>
                <w:sz w:val="20"/>
                <w:szCs w:val="20"/>
              </w:rPr>
              <w:t xml:space="preserve">y be missing </w:t>
            </w:r>
            <w:r>
              <w:rPr>
                <w:rFonts w:ascii="Calibri" w:hAnsi="Calibri" w:cs="Calibri"/>
                <w:sz w:val="20"/>
                <w:szCs w:val="20"/>
              </w:rPr>
              <w:lastRenderedPageBreak/>
              <w:t>for some activity</w:t>
            </w:r>
            <w:r w:rsidRPr="00D636F6">
              <w:rPr>
                <w:rFonts w:ascii="Calibri" w:hAnsi="Calibri" w:cs="Calibri"/>
                <w:sz w:val="20"/>
                <w:szCs w:val="20"/>
              </w:rPr>
              <w:t xml:space="preserve"> level</w:t>
            </w:r>
            <w:r>
              <w:rPr>
                <w:rFonts w:ascii="Calibri" w:hAnsi="Calibri" w:cs="Calibri"/>
                <w:sz w:val="20"/>
                <w:szCs w:val="20"/>
              </w:rPr>
              <w:t>s</w:t>
            </w:r>
            <w:r w:rsidRPr="00D636F6">
              <w:rPr>
                <w:rFonts w:ascii="Calibri" w:hAnsi="Calibri" w:cs="Calibri"/>
                <w:sz w:val="20"/>
                <w:szCs w:val="20"/>
              </w:rPr>
              <w:t xml:space="preserve"> and practices. </w:t>
            </w:r>
          </w:p>
          <w:p w:rsidR="0096449C" w:rsidRDefault="0096449C" w:rsidP="0096449C">
            <w:pPr>
              <w:spacing w:after="120"/>
              <w:rPr>
                <w:sz w:val="20"/>
                <w:szCs w:val="20"/>
              </w:rPr>
            </w:pPr>
            <w:r>
              <w:rPr>
                <w:sz w:val="20"/>
                <w:szCs w:val="20"/>
              </w:rPr>
              <w:t>2. With regard to air toxics, there is a lack of data and default values tend to be pretty rough.</w:t>
            </w:r>
          </w:p>
          <w:p w:rsidR="0096449C" w:rsidRPr="00D636F6" w:rsidRDefault="0096449C" w:rsidP="0096449C">
            <w:pPr>
              <w:spacing w:after="120"/>
              <w:rPr>
                <w:sz w:val="20"/>
                <w:szCs w:val="20"/>
              </w:rPr>
            </w:pPr>
          </w:p>
        </w:tc>
        <w:tc>
          <w:tcPr>
            <w:tcW w:w="3119" w:type="dxa"/>
          </w:tcPr>
          <w:p w:rsidR="0096449C" w:rsidRPr="005A5C0A" w:rsidRDefault="0096449C" w:rsidP="0096449C">
            <w:pPr>
              <w:spacing w:after="120"/>
              <w:rPr>
                <w:sz w:val="20"/>
                <w:szCs w:val="20"/>
              </w:rPr>
            </w:pPr>
          </w:p>
        </w:tc>
        <w:tc>
          <w:tcPr>
            <w:tcW w:w="1817" w:type="dxa"/>
          </w:tcPr>
          <w:p w:rsidR="0096449C" w:rsidRPr="005A5C0A" w:rsidRDefault="0096449C" w:rsidP="0096449C">
            <w:pPr>
              <w:spacing w:after="120"/>
              <w:rPr>
                <w:sz w:val="20"/>
                <w:szCs w:val="20"/>
              </w:rPr>
            </w:pPr>
            <w:r>
              <w:rPr>
                <w:sz w:val="20"/>
                <w:szCs w:val="20"/>
              </w:rPr>
              <w:t xml:space="preserve">1. Distinguishing between particulates derived </w:t>
            </w:r>
            <w:proofErr w:type="gramStart"/>
            <w:r>
              <w:rPr>
                <w:sz w:val="20"/>
                <w:szCs w:val="20"/>
              </w:rPr>
              <w:t>within a</w:t>
            </w:r>
            <w:proofErr w:type="gramEnd"/>
            <w:r>
              <w:rPr>
                <w:sz w:val="20"/>
                <w:szCs w:val="20"/>
              </w:rPr>
              <w:t xml:space="preserve"> </w:t>
            </w:r>
            <w:r>
              <w:rPr>
                <w:sz w:val="20"/>
                <w:szCs w:val="20"/>
              </w:rPr>
              <w:lastRenderedPageBreak/>
              <w:t>locality vs those that have migrated in from elsewhere.</w:t>
            </w:r>
          </w:p>
        </w:tc>
        <w:tc>
          <w:tcPr>
            <w:tcW w:w="2520" w:type="dxa"/>
          </w:tcPr>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lastRenderedPageBreak/>
              <w:t xml:space="preserve">1. </w:t>
            </w:r>
            <w:r w:rsidRPr="00BA05B7">
              <w:rPr>
                <w:rFonts w:asciiTheme="minorHAnsi" w:hAnsiTheme="minorHAnsi"/>
                <w:sz w:val="20"/>
                <w:szCs w:val="20"/>
              </w:rPr>
              <w:t xml:space="preserve">In the methodological approach it is suggested that, where feasible, a full lifecycle analysis should be </w:t>
            </w:r>
            <w:r w:rsidRPr="00BA05B7">
              <w:rPr>
                <w:rFonts w:asciiTheme="minorHAnsi" w:hAnsiTheme="minorHAnsi"/>
                <w:sz w:val="20"/>
                <w:szCs w:val="20"/>
              </w:rPr>
              <w:lastRenderedPageBreak/>
              <w:t xml:space="preserve">conducted. This approach </w:t>
            </w:r>
            <w:r>
              <w:rPr>
                <w:rFonts w:asciiTheme="minorHAnsi" w:hAnsiTheme="minorHAnsi"/>
                <w:sz w:val="20"/>
                <w:szCs w:val="20"/>
              </w:rPr>
              <w:t xml:space="preserve">might not be ideal, </w:t>
            </w:r>
            <w:r w:rsidRPr="00BA05B7">
              <w:rPr>
                <w:rFonts w:asciiTheme="minorHAnsi" w:hAnsiTheme="minorHAnsi"/>
                <w:sz w:val="20"/>
                <w:szCs w:val="20"/>
              </w:rPr>
              <w:t xml:space="preserve">in light of the fact that the impacts of non-GHG air pollutants are mainly local and that large differences </w:t>
            </w:r>
            <w:r>
              <w:rPr>
                <w:rFonts w:asciiTheme="minorHAnsi" w:hAnsiTheme="minorHAnsi"/>
                <w:sz w:val="20"/>
                <w:szCs w:val="20"/>
              </w:rPr>
              <w:t xml:space="preserve">exist </w:t>
            </w:r>
            <w:r w:rsidRPr="00BA05B7">
              <w:rPr>
                <w:rFonts w:asciiTheme="minorHAnsi" w:hAnsiTheme="minorHAnsi"/>
                <w:sz w:val="20"/>
                <w:szCs w:val="20"/>
              </w:rPr>
              <w:t>in terms of emissions and exposure to air toxics</w:t>
            </w:r>
            <w:r>
              <w:rPr>
                <w:rFonts w:asciiTheme="minorHAnsi" w:hAnsiTheme="minorHAnsi"/>
                <w:sz w:val="20"/>
                <w:szCs w:val="20"/>
              </w:rPr>
              <w:t xml:space="preserve"> throughout bioenergy supply</w:t>
            </w:r>
            <w:r w:rsidRPr="00BA05B7">
              <w:rPr>
                <w:rFonts w:asciiTheme="minorHAnsi" w:hAnsiTheme="minorHAnsi"/>
                <w:sz w:val="20"/>
                <w:szCs w:val="20"/>
              </w:rPr>
              <w:t xml:space="preserve"> chains.</w:t>
            </w:r>
          </w:p>
          <w:p w:rsidR="0096449C" w:rsidRPr="00D12F31" w:rsidRDefault="0096449C" w:rsidP="0096449C">
            <w:pPr>
              <w:pStyle w:val="Default"/>
              <w:spacing w:after="120"/>
              <w:rPr>
                <w:rFonts w:asciiTheme="minorHAnsi" w:hAnsiTheme="minorHAnsi"/>
                <w:sz w:val="20"/>
                <w:szCs w:val="20"/>
              </w:rPr>
            </w:pPr>
            <w:r>
              <w:rPr>
                <w:rFonts w:asciiTheme="minorHAnsi" w:hAnsiTheme="minorHAnsi"/>
                <w:sz w:val="20"/>
                <w:szCs w:val="20"/>
              </w:rPr>
              <w:t>2. When this indicator is measured, it is recommended to take into account relevant national policies/</w:t>
            </w:r>
            <w:proofErr w:type="spellStart"/>
            <w:r>
              <w:rPr>
                <w:rFonts w:asciiTheme="minorHAnsi" w:hAnsiTheme="minorHAnsi"/>
                <w:sz w:val="20"/>
                <w:szCs w:val="20"/>
              </w:rPr>
              <w:t>programmes</w:t>
            </w:r>
            <w:proofErr w:type="spellEnd"/>
            <w:r>
              <w:rPr>
                <w:rFonts w:asciiTheme="minorHAnsi" w:hAnsiTheme="minorHAnsi"/>
                <w:sz w:val="20"/>
                <w:szCs w:val="20"/>
              </w:rPr>
              <w:t>/standards and international processes (e.g. Gothenburg Protocol) and methodologies (e.g. IPCC).</w:t>
            </w:r>
          </w:p>
        </w:tc>
      </w:tr>
      <w:tr w:rsidR="0096449C" w:rsidRPr="005D5ED0" w:rsidTr="0096449C">
        <w:tc>
          <w:tcPr>
            <w:tcW w:w="1980" w:type="dxa"/>
            <w:vAlign w:val="center"/>
          </w:tcPr>
          <w:p w:rsidR="0096449C" w:rsidRPr="003736FE" w:rsidRDefault="0096449C" w:rsidP="0096449C">
            <w:pPr>
              <w:pStyle w:val="Default"/>
              <w:spacing w:before="480" w:after="480"/>
              <w:rPr>
                <w:b/>
                <w:bCs/>
                <w:sz w:val="18"/>
                <w:szCs w:val="18"/>
              </w:rPr>
            </w:pPr>
            <w:r w:rsidRPr="003736FE">
              <w:rPr>
                <w:b/>
                <w:bCs/>
                <w:sz w:val="18"/>
                <w:szCs w:val="18"/>
              </w:rPr>
              <w:lastRenderedPageBreak/>
              <w:t xml:space="preserve">5. </w:t>
            </w:r>
            <w:r>
              <w:rPr>
                <w:b/>
                <w:bCs/>
                <w:sz w:val="18"/>
                <w:szCs w:val="18"/>
              </w:rPr>
              <w:t>Water use and efficiency</w:t>
            </w:r>
          </w:p>
        </w:tc>
        <w:tc>
          <w:tcPr>
            <w:tcW w:w="3068" w:type="dxa"/>
          </w:tcPr>
          <w:p w:rsidR="0096449C" w:rsidRPr="005A5C0A" w:rsidRDefault="0096449C" w:rsidP="0096449C">
            <w:pPr>
              <w:pStyle w:val="Default"/>
              <w:spacing w:after="120"/>
              <w:rPr>
                <w:rFonts w:asciiTheme="minorHAnsi" w:hAnsiTheme="minorHAnsi"/>
                <w:sz w:val="20"/>
                <w:szCs w:val="20"/>
              </w:rPr>
            </w:pPr>
            <w:r>
              <w:rPr>
                <w:rFonts w:ascii="Calibri" w:hAnsi="Calibri" w:cs="Calibri"/>
                <w:sz w:val="20"/>
                <w:szCs w:val="20"/>
              </w:rPr>
              <w:t xml:space="preserve">1. </w:t>
            </w:r>
            <w:r w:rsidRPr="00E10A4C">
              <w:rPr>
                <w:rFonts w:asciiTheme="minorHAnsi" w:hAnsiTheme="minorHAnsi"/>
                <w:sz w:val="20"/>
                <w:szCs w:val="20"/>
              </w:rPr>
              <w:t>Data availability might be an issue in some developing countries.</w:t>
            </w:r>
          </w:p>
        </w:tc>
        <w:tc>
          <w:tcPr>
            <w:tcW w:w="2976" w:type="dxa"/>
          </w:tcPr>
          <w:p w:rsidR="0096449C" w:rsidRDefault="0096449C" w:rsidP="0096449C">
            <w:pPr>
              <w:pStyle w:val="Default"/>
              <w:spacing w:after="120"/>
              <w:rPr>
                <w:rFonts w:asciiTheme="minorHAnsi" w:hAnsiTheme="minorHAnsi"/>
                <w:sz w:val="20"/>
                <w:szCs w:val="20"/>
              </w:rPr>
            </w:pPr>
            <w:r>
              <w:rPr>
                <w:rFonts w:asciiTheme="minorHAnsi" w:hAnsiTheme="minorHAnsi"/>
                <w:sz w:val="20"/>
                <w:szCs w:val="20"/>
              </w:rPr>
              <w:t>1. Maps about water availability are there</w:t>
            </w:r>
            <w:r>
              <w:rPr>
                <w:rFonts w:asciiTheme="minorHAnsi" w:hAnsiTheme="minorHAnsi"/>
                <w:sz w:val="20"/>
                <w:szCs w:val="20"/>
              </w:rPr>
              <w:br/>
            </w:r>
            <w:r w:rsidRPr="003C50CF">
              <w:rPr>
                <w:rFonts w:asciiTheme="minorHAnsi" w:hAnsiTheme="minorHAnsi"/>
                <w:sz w:val="20"/>
                <w:szCs w:val="20"/>
              </w:rPr>
              <w:sym w:font="Wingdings" w:char="F0E0"/>
            </w:r>
            <w:r>
              <w:rPr>
                <w:rFonts w:asciiTheme="minorHAnsi" w:hAnsiTheme="minorHAnsi"/>
                <w:sz w:val="20"/>
                <w:szCs w:val="20"/>
              </w:rPr>
              <w:t xml:space="preserve"> hot spots detectable </w:t>
            </w:r>
          </w:p>
          <w:p w:rsidR="0096449C" w:rsidRDefault="0096449C" w:rsidP="0096449C">
            <w:pPr>
              <w:pStyle w:val="Default"/>
              <w:spacing w:after="120"/>
              <w:rPr>
                <w:rFonts w:asciiTheme="minorHAnsi" w:hAnsiTheme="minorHAnsi"/>
                <w:sz w:val="20"/>
                <w:szCs w:val="20"/>
              </w:rPr>
            </w:pPr>
            <w:r w:rsidRPr="003C50CF">
              <w:rPr>
                <w:rFonts w:asciiTheme="minorHAnsi" w:hAnsiTheme="minorHAnsi"/>
                <w:sz w:val="20"/>
                <w:szCs w:val="20"/>
              </w:rPr>
              <w:sym w:font="Wingdings" w:char="F0E0"/>
            </w:r>
            <w:r>
              <w:rPr>
                <w:rFonts w:asciiTheme="minorHAnsi" w:hAnsiTheme="minorHAnsi"/>
                <w:sz w:val="20"/>
                <w:szCs w:val="20"/>
              </w:rPr>
              <w:t xml:space="preserve"> </w:t>
            </w:r>
            <w:proofErr w:type="gramStart"/>
            <w:r>
              <w:rPr>
                <w:rFonts w:asciiTheme="minorHAnsi" w:hAnsiTheme="minorHAnsi"/>
                <w:sz w:val="20"/>
                <w:szCs w:val="20"/>
              </w:rPr>
              <w:t>need</w:t>
            </w:r>
            <w:proofErr w:type="gramEnd"/>
            <w:r>
              <w:rPr>
                <w:rFonts w:asciiTheme="minorHAnsi" w:hAnsiTheme="minorHAnsi"/>
                <w:sz w:val="20"/>
                <w:szCs w:val="20"/>
              </w:rPr>
              <w:t xml:space="preserve"> ground </w:t>
            </w:r>
            <w:proofErr w:type="spellStart"/>
            <w:r>
              <w:rPr>
                <w:rFonts w:asciiTheme="minorHAnsi" w:hAnsiTheme="minorHAnsi"/>
                <w:sz w:val="20"/>
                <w:szCs w:val="20"/>
              </w:rPr>
              <w:t>truthing</w:t>
            </w:r>
            <w:proofErr w:type="spellEnd"/>
            <w:r>
              <w:rPr>
                <w:rFonts w:asciiTheme="minorHAnsi" w:hAnsiTheme="minorHAnsi"/>
                <w:sz w:val="20"/>
                <w:szCs w:val="20"/>
              </w:rPr>
              <w:t>.</w:t>
            </w:r>
          </w:p>
          <w:p w:rsidR="0096449C" w:rsidRDefault="0096449C" w:rsidP="0096449C">
            <w:pPr>
              <w:autoSpaceDE w:val="0"/>
              <w:autoSpaceDN w:val="0"/>
              <w:adjustRightInd w:val="0"/>
              <w:rPr>
                <w:sz w:val="20"/>
                <w:szCs w:val="20"/>
              </w:rPr>
            </w:pPr>
            <w:r>
              <w:rPr>
                <w:sz w:val="20"/>
                <w:szCs w:val="20"/>
              </w:rPr>
              <w:t>2.</w:t>
            </w:r>
            <w:r w:rsidRPr="005A5C0A">
              <w:rPr>
                <w:sz w:val="20"/>
                <w:szCs w:val="20"/>
              </w:rPr>
              <w:t xml:space="preserve"> It is suggested to use</w:t>
            </w:r>
            <w:r>
              <w:rPr>
                <w:sz w:val="20"/>
                <w:szCs w:val="20"/>
              </w:rPr>
              <w:t xml:space="preserve"> watershed level data as opposed to</w:t>
            </w:r>
            <w:r w:rsidRPr="005A5C0A">
              <w:rPr>
                <w:sz w:val="20"/>
                <w:szCs w:val="20"/>
              </w:rPr>
              <w:t xml:space="preserve"> </w:t>
            </w:r>
            <w:r>
              <w:rPr>
                <w:sz w:val="20"/>
                <w:szCs w:val="20"/>
              </w:rPr>
              <w:t xml:space="preserve">average national-level </w:t>
            </w:r>
            <w:r w:rsidRPr="005A5C0A">
              <w:rPr>
                <w:sz w:val="20"/>
                <w:szCs w:val="20"/>
              </w:rPr>
              <w:t xml:space="preserve">data </w:t>
            </w:r>
            <w:r>
              <w:rPr>
                <w:sz w:val="20"/>
                <w:szCs w:val="20"/>
              </w:rPr>
              <w:t>and to present results at the same scale/level</w:t>
            </w:r>
            <w:r w:rsidRPr="005A5C0A">
              <w:rPr>
                <w:sz w:val="20"/>
                <w:szCs w:val="20"/>
              </w:rPr>
              <w:t>.</w:t>
            </w:r>
          </w:p>
          <w:p w:rsidR="0096449C" w:rsidRPr="004B3D2F" w:rsidRDefault="0096449C" w:rsidP="0096449C">
            <w:pPr>
              <w:autoSpaceDE w:val="0"/>
              <w:autoSpaceDN w:val="0"/>
              <w:adjustRightInd w:val="0"/>
              <w:rPr>
                <w:sz w:val="8"/>
                <w:szCs w:val="8"/>
              </w:rPr>
            </w:pPr>
          </w:p>
          <w:p w:rsidR="0096449C" w:rsidRDefault="0096449C" w:rsidP="0096449C">
            <w:pPr>
              <w:autoSpaceDE w:val="0"/>
              <w:autoSpaceDN w:val="0"/>
              <w:adjustRightInd w:val="0"/>
              <w:rPr>
                <w:rFonts w:cs="Arial"/>
                <w:sz w:val="20"/>
                <w:szCs w:val="20"/>
              </w:rPr>
            </w:pPr>
            <w:r>
              <w:rPr>
                <w:sz w:val="20"/>
                <w:szCs w:val="20"/>
              </w:rPr>
              <w:t xml:space="preserve">3. </w:t>
            </w:r>
            <w:r>
              <w:rPr>
                <w:rFonts w:cs="Arial"/>
                <w:color w:val="000000"/>
                <w:sz w:val="20"/>
                <w:szCs w:val="20"/>
              </w:rPr>
              <w:t>Possible l</w:t>
            </w:r>
            <w:r w:rsidRPr="00E10A4C">
              <w:rPr>
                <w:rFonts w:cs="Arial"/>
                <w:color w:val="000000"/>
                <w:sz w:val="20"/>
                <w:szCs w:val="20"/>
              </w:rPr>
              <w:t xml:space="preserve">ack of data on the share of renewable vs. non-renewable </w:t>
            </w:r>
            <w:r>
              <w:rPr>
                <w:rFonts w:cs="Arial"/>
                <w:color w:val="000000"/>
                <w:sz w:val="20"/>
                <w:szCs w:val="20"/>
              </w:rPr>
              <w:t xml:space="preserve">water </w:t>
            </w:r>
            <w:r w:rsidRPr="00E10A4C">
              <w:rPr>
                <w:rFonts w:cs="Arial"/>
                <w:color w:val="000000"/>
                <w:sz w:val="20"/>
                <w:szCs w:val="20"/>
              </w:rPr>
              <w:t>sources</w:t>
            </w:r>
            <w:r>
              <w:rPr>
                <w:rFonts w:cs="Arial"/>
                <w:sz w:val="20"/>
                <w:szCs w:val="20"/>
              </w:rPr>
              <w:t>, especially for feedstock production.</w:t>
            </w:r>
          </w:p>
          <w:p w:rsidR="0096449C" w:rsidRPr="004B3D2F" w:rsidRDefault="0096449C" w:rsidP="0096449C">
            <w:pPr>
              <w:autoSpaceDE w:val="0"/>
              <w:autoSpaceDN w:val="0"/>
              <w:adjustRightInd w:val="0"/>
              <w:rPr>
                <w:rFonts w:cs="Arial"/>
                <w:sz w:val="8"/>
                <w:szCs w:val="8"/>
              </w:rPr>
            </w:pPr>
          </w:p>
          <w:p w:rsidR="0096449C" w:rsidRPr="00CB01C4" w:rsidRDefault="0096449C" w:rsidP="0096449C">
            <w:pPr>
              <w:autoSpaceDE w:val="0"/>
              <w:autoSpaceDN w:val="0"/>
              <w:adjustRightInd w:val="0"/>
              <w:rPr>
                <w:rFonts w:cs="Arial"/>
                <w:color w:val="000000"/>
                <w:sz w:val="20"/>
                <w:szCs w:val="20"/>
              </w:rPr>
            </w:pPr>
            <w:r>
              <w:rPr>
                <w:rFonts w:cs="Arial"/>
                <w:color w:val="000000"/>
                <w:sz w:val="20"/>
                <w:szCs w:val="20"/>
              </w:rPr>
              <w:t xml:space="preserve">4. </w:t>
            </w:r>
            <w:r w:rsidRPr="00CB01C4">
              <w:rPr>
                <w:rFonts w:cs="Arial"/>
                <w:color w:val="000000"/>
                <w:sz w:val="20"/>
                <w:szCs w:val="20"/>
              </w:rPr>
              <w:t>Watershed boundaries may not coincide with those of the administrative units for</w:t>
            </w:r>
          </w:p>
          <w:p w:rsidR="0096449C" w:rsidRPr="00790377" w:rsidRDefault="0096449C" w:rsidP="0096449C">
            <w:pPr>
              <w:autoSpaceDE w:val="0"/>
              <w:autoSpaceDN w:val="0"/>
              <w:adjustRightInd w:val="0"/>
              <w:rPr>
                <w:rFonts w:cs="Arial"/>
                <w:color w:val="000000"/>
                <w:sz w:val="20"/>
                <w:szCs w:val="20"/>
              </w:rPr>
            </w:pPr>
            <w:proofErr w:type="gramStart"/>
            <w:r w:rsidRPr="00CB01C4">
              <w:rPr>
                <w:rFonts w:cs="Arial"/>
                <w:color w:val="000000"/>
                <w:sz w:val="20"/>
                <w:szCs w:val="20"/>
              </w:rPr>
              <w:t>which</w:t>
            </w:r>
            <w:proofErr w:type="gramEnd"/>
            <w:r w:rsidRPr="00CB01C4">
              <w:rPr>
                <w:rFonts w:cs="Arial"/>
                <w:color w:val="000000"/>
                <w:sz w:val="20"/>
                <w:szCs w:val="20"/>
              </w:rPr>
              <w:t xml:space="preserve"> data on production of bioenergy </w:t>
            </w:r>
            <w:proofErr w:type="spellStart"/>
            <w:r w:rsidRPr="00CB01C4">
              <w:rPr>
                <w:rFonts w:cs="Arial"/>
                <w:color w:val="000000"/>
                <w:sz w:val="20"/>
                <w:szCs w:val="20"/>
              </w:rPr>
              <w:t>feedstocks</w:t>
            </w:r>
            <w:proofErr w:type="spellEnd"/>
            <w:r w:rsidRPr="00CB01C4">
              <w:rPr>
                <w:rFonts w:cs="Arial"/>
                <w:color w:val="000000"/>
                <w:sz w:val="20"/>
                <w:szCs w:val="20"/>
              </w:rPr>
              <w:t xml:space="preserve"> and products are available, making it </w:t>
            </w:r>
            <w:r w:rsidRPr="00CB01C4">
              <w:rPr>
                <w:rFonts w:cs="Arial"/>
                <w:color w:val="000000"/>
                <w:sz w:val="20"/>
                <w:szCs w:val="20"/>
              </w:rPr>
              <w:lastRenderedPageBreak/>
              <w:t>difficult to determine the amount of water withdrawn</w:t>
            </w:r>
            <w:r>
              <w:rPr>
                <w:rFonts w:cs="Arial"/>
                <w:color w:val="000000"/>
                <w:sz w:val="20"/>
                <w:szCs w:val="20"/>
              </w:rPr>
              <w:t xml:space="preserve"> </w:t>
            </w:r>
            <w:r w:rsidRPr="00CB01C4">
              <w:rPr>
                <w:rFonts w:cs="Arial"/>
                <w:color w:val="000000"/>
                <w:sz w:val="20"/>
                <w:szCs w:val="20"/>
              </w:rPr>
              <w:t>in a specific watershed for bioenergy production.</w:t>
            </w:r>
          </w:p>
        </w:tc>
        <w:tc>
          <w:tcPr>
            <w:tcW w:w="3119" w:type="dxa"/>
          </w:tcPr>
          <w:p w:rsidR="0096449C" w:rsidRPr="005A5C0A" w:rsidRDefault="0096449C" w:rsidP="0096449C">
            <w:pPr>
              <w:pStyle w:val="Default"/>
              <w:spacing w:after="120"/>
              <w:rPr>
                <w:rFonts w:asciiTheme="minorHAnsi" w:hAnsiTheme="minorHAnsi"/>
                <w:sz w:val="20"/>
                <w:szCs w:val="20"/>
              </w:rPr>
            </w:pPr>
          </w:p>
        </w:tc>
        <w:tc>
          <w:tcPr>
            <w:tcW w:w="1817" w:type="dxa"/>
          </w:tcPr>
          <w:p w:rsidR="0096449C" w:rsidRPr="005A5C0A" w:rsidRDefault="0096449C" w:rsidP="0096449C">
            <w:pPr>
              <w:pStyle w:val="Default"/>
              <w:spacing w:after="120"/>
              <w:rPr>
                <w:rFonts w:asciiTheme="minorHAnsi" w:hAnsiTheme="minorHAnsi"/>
                <w:sz w:val="20"/>
                <w:szCs w:val="20"/>
              </w:rPr>
            </w:pPr>
          </w:p>
        </w:tc>
        <w:tc>
          <w:tcPr>
            <w:tcW w:w="2520" w:type="dxa"/>
          </w:tcPr>
          <w:p w:rsidR="0096449C" w:rsidRPr="00E76EEE" w:rsidRDefault="0096449C" w:rsidP="0096449C">
            <w:pPr>
              <w:pStyle w:val="Default"/>
              <w:spacing w:after="120"/>
              <w:ind w:left="59"/>
              <w:rPr>
                <w:rFonts w:asciiTheme="minorHAnsi" w:hAnsiTheme="minorHAnsi"/>
                <w:sz w:val="20"/>
                <w:szCs w:val="20"/>
              </w:rPr>
            </w:pPr>
            <w:r w:rsidRPr="00E76EEE">
              <w:rPr>
                <w:rFonts w:asciiTheme="minorHAnsi" w:hAnsiTheme="minorHAnsi"/>
                <w:sz w:val="20"/>
                <w:szCs w:val="20"/>
              </w:rPr>
              <w:t xml:space="preserve">1. </w:t>
            </w:r>
            <w:r>
              <w:rPr>
                <w:rFonts w:asciiTheme="minorHAnsi" w:hAnsiTheme="minorHAnsi"/>
                <w:sz w:val="20"/>
                <w:szCs w:val="20"/>
              </w:rPr>
              <w:t>When this indicator is measured, it is crucial t</w:t>
            </w:r>
            <w:r w:rsidRPr="00E76EEE">
              <w:rPr>
                <w:rFonts w:asciiTheme="minorHAnsi" w:hAnsiTheme="minorHAnsi"/>
                <w:sz w:val="20"/>
                <w:szCs w:val="20"/>
              </w:rPr>
              <w:t>o define reference conditions in order to compare results at different scales (local vs. national vs. global).</w:t>
            </w:r>
          </w:p>
          <w:p w:rsidR="0096449C" w:rsidRDefault="0096449C" w:rsidP="0096449C">
            <w:pPr>
              <w:pStyle w:val="Default"/>
              <w:spacing w:after="120"/>
              <w:ind w:left="59"/>
              <w:rPr>
                <w:rFonts w:asciiTheme="minorHAnsi" w:hAnsiTheme="minorHAnsi"/>
                <w:sz w:val="20"/>
                <w:szCs w:val="20"/>
              </w:rPr>
            </w:pPr>
            <w:r w:rsidRPr="00E76EEE">
              <w:rPr>
                <w:rFonts w:asciiTheme="minorHAnsi" w:hAnsiTheme="minorHAnsi"/>
                <w:sz w:val="20"/>
                <w:szCs w:val="20"/>
              </w:rPr>
              <w:t xml:space="preserve">2. </w:t>
            </w:r>
            <w:r>
              <w:rPr>
                <w:rFonts w:asciiTheme="minorHAnsi" w:hAnsiTheme="minorHAnsi"/>
                <w:sz w:val="20"/>
                <w:szCs w:val="20"/>
              </w:rPr>
              <w:t>When this indicator is measured, it is crucial t</w:t>
            </w:r>
            <w:r w:rsidRPr="00E76EEE">
              <w:rPr>
                <w:rFonts w:asciiTheme="minorHAnsi" w:hAnsiTheme="minorHAnsi"/>
                <w:sz w:val="20"/>
                <w:szCs w:val="20"/>
              </w:rPr>
              <w:t>o take into account environmental, social and economic parameters that may affect the levels of water use and efficiency.</w:t>
            </w:r>
          </w:p>
          <w:p w:rsidR="0096449C" w:rsidRDefault="0096449C" w:rsidP="0096449C">
            <w:pPr>
              <w:pStyle w:val="Default"/>
              <w:spacing w:after="120"/>
              <w:ind w:left="59"/>
              <w:rPr>
                <w:rFonts w:asciiTheme="minorHAnsi" w:hAnsiTheme="minorHAnsi"/>
                <w:sz w:val="20"/>
                <w:szCs w:val="20"/>
              </w:rPr>
            </w:pPr>
            <w:r>
              <w:rPr>
                <w:rFonts w:asciiTheme="minorHAnsi" w:hAnsiTheme="minorHAnsi"/>
                <w:sz w:val="20"/>
                <w:szCs w:val="20"/>
              </w:rPr>
              <w:t>3. In addition to withdrawals, evapotranspiration could be considered as well.</w:t>
            </w:r>
          </w:p>
          <w:p w:rsidR="0096449C" w:rsidRDefault="0096449C" w:rsidP="0096449C">
            <w:pPr>
              <w:pStyle w:val="Default"/>
              <w:spacing w:after="120"/>
              <w:ind w:left="59"/>
              <w:rPr>
                <w:rFonts w:asciiTheme="minorHAnsi" w:hAnsiTheme="minorHAnsi" w:cs="StempelGaramondLTStd-Roman"/>
                <w:sz w:val="20"/>
                <w:szCs w:val="20"/>
              </w:rPr>
            </w:pPr>
            <w:r>
              <w:rPr>
                <w:rFonts w:asciiTheme="minorHAnsi" w:hAnsiTheme="minorHAnsi"/>
                <w:sz w:val="20"/>
                <w:szCs w:val="20"/>
              </w:rPr>
              <w:t xml:space="preserve">4. </w:t>
            </w:r>
            <w:r w:rsidRPr="00E10A4C">
              <w:rPr>
                <w:rFonts w:asciiTheme="minorHAnsi" w:hAnsiTheme="minorHAnsi"/>
                <w:sz w:val="20"/>
                <w:szCs w:val="20"/>
              </w:rPr>
              <w:t xml:space="preserve">It would be useful to measure this indicator for both average years and dry </w:t>
            </w:r>
            <w:r w:rsidRPr="00E10A4C">
              <w:rPr>
                <w:rFonts w:asciiTheme="minorHAnsi" w:hAnsiTheme="minorHAnsi"/>
                <w:sz w:val="20"/>
                <w:szCs w:val="20"/>
              </w:rPr>
              <w:lastRenderedPageBreak/>
              <w:t xml:space="preserve">years, </w:t>
            </w:r>
            <w:r w:rsidRPr="00E10A4C">
              <w:rPr>
                <w:rFonts w:asciiTheme="minorHAnsi" w:hAnsiTheme="minorHAnsi" w:cs="StempelGaramondLTStd-Roman"/>
                <w:sz w:val="20"/>
                <w:szCs w:val="20"/>
              </w:rPr>
              <w:t>as the TARWR and thus the share of it used for bioenergy</w:t>
            </w:r>
            <w:r>
              <w:rPr>
                <w:rFonts w:asciiTheme="minorHAnsi" w:hAnsiTheme="minorHAnsi" w:cs="StempelGaramondLTStd-Roman"/>
                <w:sz w:val="20"/>
                <w:szCs w:val="20"/>
              </w:rPr>
              <w:t xml:space="preserve"> </w:t>
            </w:r>
            <w:r w:rsidRPr="00E10A4C">
              <w:rPr>
                <w:rFonts w:asciiTheme="minorHAnsi" w:hAnsiTheme="minorHAnsi" w:cs="StempelGaramondLTStd-Roman"/>
                <w:sz w:val="20"/>
                <w:szCs w:val="20"/>
              </w:rPr>
              <w:t>production might change significantly</w:t>
            </w:r>
            <w:r>
              <w:rPr>
                <w:rFonts w:asciiTheme="minorHAnsi" w:hAnsiTheme="minorHAnsi" w:cs="StempelGaramondLTStd-Roman"/>
                <w:sz w:val="20"/>
                <w:szCs w:val="20"/>
              </w:rPr>
              <w:t xml:space="preserve"> in a watershed.</w:t>
            </w:r>
          </w:p>
          <w:p w:rsidR="0096449C" w:rsidRPr="004B3D2F" w:rsidRDefault="0096449C" w:rsidP="0096449C">
            <w:pPr>
              <w:pStyle w:val="Default"/>
              <w:spacing w:after="120"/>
              <w:ind w:left="59"/>
              <w:rPr>
                <w:rFonts w:asciiTheme="minorHAnsi" w:hAnsiTheme="minorHAnsi"/>
                <w:sz w:val="20"/>
                <w:szCs w:val="20"/>
              </w:rPr>
            </w:pPr>
            <w:r>
              <w:rPr>
                <w:rFonts w:asciiTheme="minorHAnsi" w:hAnsiTheme="minorHAnsi"/>
                <w:sz w:val="20"/>
                <w:szCs w:val="20"/>
              </w:rPr>
              <w:t xml:space="preserve">5. </w:t>
            </w:r>
            <w:r w:rsidRPr="00D12F31">
              <w:rPr>
                <w:rFonts w:asciiTheme="minorHAnsi" w:hAnsiTheme="minorHAnsi"/>
                <w:sz w:val="20"/>
                <w:szCs w:val="20"/>
              </w:rPr>
              <w:t>This indicator has</w:t>
            </w:r>
            <w:r>
              <w:rPr>
                <w:rFonts w:asciiTheme="minorHAnsi" w:hAnsiTheme="minorHAnsi"/>
                <w:sz w:val="20"/>
                <w:szCs w:val="20"/>
              </w:rPr>
              <w:t xml:space="preserve"> already</w:t>
            </w:r>
            <w:r w:rsidRPr="00D12F31">
              <w:rPr>
                <w:rFonts w:asciiTheme="minorHAnsi" w:hAnsiTheme="minorHAnsi"/>
                <w:sz w:val="20"/>
                <w:szCs w:val="20"/>
              </w:rPr>
              <w:t xml:space="preserve"> been measure</w:t>
            </w:r>
            <w:r>
              <w:rPr>
                <w:rFonts w:asciiTheme="minorHAnsi" w:hAnsiTheme="minorHAnsi"/>
                <w:sz w:val="20"/>
                <w:szCs w:val="20"/>
              </w:rPr>
              <w:t>d</w:t>
            </w:r>
            <w:r w:rsidRPr="00D12F31">
              <w:rPr>
                <w:rFonts w:asciiTheme="minorHAnsi" w:hAnsiTheme="minorHAnsi"/>
                <w:sz w:val="20"/>
                <w:szCs w:val="20"/>
              </w:rPr>
              <w:t xml:space="preserve"> in several </w:t>
            </w:r>
            <w:proofErr w:type="gramStart"/>
            <w:r w:rsidRPr="00D12F31">
              <w:rPr>
                <w:rFonts w:asciiTheme="minorHAnsi" w:hAnsiTheme="minorHAnsi"/>
                <w:sz w:val="20"/>
                <w:szCs w:val="20"/>
              </w:rPr>
              <w:t>countries,</w:t>
            </w:r>
            <w:proofErr w:type="gramEnd"/>
            <w:r w:rsidRPr="00D12F31">
              <w:rPr>
                <w:rFonts w:asciiTheme="minorHAnsi" w:hAnsiTheme="minorHAnsi"/>
                <w:sz w:val="20"/>
                <w:szCs w:val="20"/>
              </w:rPr>
              <w:t xml:space="preserve"> however it would be interesting to see the results of the measurement of this indicator in more vulnerable countries from a water use and efficiency point of view.</w:t>
            </w:r>
          </w:p>
        </w:tc>
      </w:tr>
      <w:tr w:rsidR="0096449C" w:rsidTr="0096449C">
        <w:tc>
          <w:tcPr>
            <w:tcW w:w="1980" w:type="dxa"/>
            <w:vAlign w:val="center"/>
          </w:tcPr>
          <w:p w:rsidR="0096449C" w:rsidRPr="003736FE" w:rsidRDefault="0096449C" w:rsidP="0096449C">
            <w:pPr>
              <w:pStyle w:val="Default"/>
              <w:spacing w:before="480" w:after="480"/>
              <w:rPr>
                <w:sz w:val="18"/>
                <w:szCs w:val="18"/>
              </w:rPr>
            </w:pPr>
            <w:r>
              <w:rPr>
                <w:b/>
                <w:bCs/>
                <w:sz w:val="18"/>
                <w:szCs w:val="18"/>
              </w:rPr>
              <w:lastRenderedPageBreak/>
              <w:t>6. Water quality</w:t>
            </w:r>
          </w:p>
        </w:tc>
        <w:tc>
          <w:tcPr>
            <w:tcW w:w="3068" w:type="dxa"/>
          </w:tcPr>
          <w:p w:rsidR="0096449C" w:rsidRDefault="0096449C" w:rsidP="0096449C">
            <w:pPr>
              <w:spacing w:after="120"/>
              <w:rPr>
                <w:sz w:val="20"/>
                <w:szCs w:val="20"/>
              </w:rPr>
            </w:pPr>
            <w:r>
              <w:rPr>
                <w:sz w:val="20"/>
                <w:szCs w:val="20"/>
              </w:rPr>
              <w:t>1. The indicator requires the measurement of nutrients/pesticides that reach a water body. This measurement may be pretty complicated and burdensome.</w:t>
            </w:r>
          </w:p>
          <w:p w:rsidR="0096449C" w:rsidRPr="005A5C0A" w:rsidRDefault="0096449C" w:rsidP="0096449C">
            <w:pPr>
              <w:spacing w:after="120"/>
              <w:rPr>
                <w:sz w:val="20"/>
                <w:szCs w:val="20"/>
              </w:rPr>
            </w:pPr>
          </w:p>
        </w:tc>
        <w:tc>
          <w:tcPr>
            <w:tcW w:w="2976" w:type="dxa"/>
          </w:tcPr>
          <w:p w:rsidR="0096449C" w:rsidRDefault="0096449C" w:rsidP="0096449C">
            <w:pPr>
              <w:spacing w:after="120"/>
              <w:rPr>
                <w:sz w:val="20"/>
                <w:szCs w:val="20"/>
              </w:rPr>
            </w:pPr>
            <w:r>
              <w:rPr>
                <w:sz w:val="20"/>
                <w:szCs w:val="20"/>
              </w:rPr>
              <w:t>1. While data on the application of fertilizers and pesticides in bioenergy feedstock production is generally available, there might be less data about pollution of water bodies. Finally, data on the runoff of chemical inputs to water bodies is very rare. However, hot spots are detectable.</w:t>
            </w:r>
          </w:p>
          <w:p w:rsidR="0096449C" w:rsidRDefault="0096449C" w:rsidP="0096449C">
            <w:pPr>
              <w:spacing w:after="120"/>
              <w:rPr>
                <w:sz w:val="20"/>
                <w:szCs w:val="20"/>
              </w:rPr>
            </w:pPr>
            <w:r>
              <w:rPr>
                <w:sz w:val="20"/>
                <w:szCs w:val="20"/>
              </w:rPr>
              <w:t>2. There are some models that can be used to trace water pollution back to the land use but they require a lot of entry data that oftentimes is not available.</w:t>
            </w:r>
          </w:p>
          <w:p w:rsidR="0096449C" w:rsidRPr="005A5C0A" w:rsidRDefault="0096449C" w:rsidP="0096449C">
            <w:pPr>
              <w:spacing w:after="120"/>
              <w:rPr>
                <w:sz w:val="20"/>
                <w:szCs w:val="20"/>
              </w:rPr>
            </w:pPr>
            <w:r>
              <w:rPr>
                <w:sz w:val="20"/>
                <w:szCs w:val="20"/>
              </w:rPr>
              <w:t>3. Environmental data is needed to define and simulate reference conditions.</w:t>
            </w:r>
          </w:p>
        </w:tc>
        <w:tc>
          <w:tcPr>
            <w:tcW w:w="3119" w:type="dxa"/>
          </w:tcPr>
          <w:p w:rsidR="0096449C" w:rsidRPr="005A5C0A" w:rsidRDefault="0096449C" w:rsidP="0096449C">
            <w:pPr>
              <w:spacing w:after="120"/>
              <w:rPr>
                <w:sz w:val="20"/>
                <w:szCs w:val="20"/>
              </w:rPr>
            </w:pPr>
          </w:p>
        </w:tc>
        <w:tc>
          <w:tcPr>
            <w:tcW w:w="1817" w:type="dxa"/>
          </w:tcPr>
          <w:p w:rsidR="0096449C" w:rsidRPr="005A5C0A" w:rsidRDefault="0096449C" w:rsidP="0096449C">
            <w:pPr>
              <w:spacing w:after="120"/>
              <w:rPr>
                <w:sz w:val="20"/>
                <w:szCs w:val="20"/>
              </w:rPr>
            </w:pPr>
          </w:p>
        </w:tc>
        <w:tc>
          <w:tcPr>
            <w:tcW w:w="2520" w:type="dxa"/>
          </w:tcPr>
          <w:p w:rsidR="0096449C" w:rsidRDefault="0096449C" w:rsidP="0096449C">
            <w:pPr>
              <w:pStyle w:val="Standard"/>
              <w:spacing w:after="120"/>
            </w:pPr>
            <w:r>
              <w:rPr>
                <w:rFonts w:ascii="Calibri" w:hAnsi="Calibri" w:cs="Calibri"/>
                <w:sz w:val="20"/>
                <w:szCs w:val="20"/>
              </w:rPr>
              <w:t>1. When this indicator is measured, it is crucial to define reference conditions in order to compare results at different scales (local vs. national vs. global).</w:t>
            </w:r>
          </w:p>
          <w:p w:rsidR="0096449C" w:rsidRDefault="0096449C" w:rsidP="0096449C">
            <w:pPr>
              <w:pStyle w:val="Default"/>
              <w:spacing w:after="120"/>
              <w:rPr>
                <w:rFonts w:asciiTheme="minorHAnsi" w:hAnsiTheme="minorHAnsi"/>
                <w:sz w:val="20"/>
                <w:szCs w:val="20"/>
              </w:rPr>
            </w:pPr>
            <w:r>
              <w:rPr>
                <w:rFonts w:ascii="Calibri" w:hAnsi="Calibri" w:cs="Calibri"/>
                <w:sz w:val="20"/>
                <w:szCs w:val="20"/>
              </w:rPr>
              <w:t>2. When this indicator is measured, it is crucial to take into account relevant environmental, social and economic parameters.</w:t>
            </w:r>
          </w:p>
          <w:p w:rsidR="0096449C" w:rsidRPr="003A41EA" w:rsidRDefault="0096449C" w:rsidP="0096449C">
            <w:pPr>
              <w:pStyle w:val="Default"/>
              <w:spacing w:after="120"/>
              <w:rPr>
                <w:rFonts w:ascii="StempelGaramondLTStd-Roman" w:hAnsi="StempelGaramondLTStd-Roman" w:cs="StempelGaramondLTStd-Roman"/>
                <w:sz w:val="20"/>
                <w:szCs w:val="20"/>
              </w:rPr>
            </w:pPr>
            <w:r>
              <w:rPr>
                <w:rFonts w:asciiTheme="minorHAnsi" w:hAnsiTheme="minorHAnsi"/>
                <w:sz w:val="20"/>
                <w:szCs w:val="20"/>
              </w:rPr>
              <w:t>3. Lesson could be learned from areas where within a watershed only one type of crop/feedstock is grown.</w:t>
            </w:r>
          </w:p>
        </w:tc>
      </w:tr>
      <w:tr w:rsidR="0096449C" w:rsidTr="0096449C">
        <w:tc>
          <w:tcPr>
            <w:tcW w:w="1980" w:type="dxa"/>
            <w:vAlign w:val="center"/>
          </w:tcPr>
          <w:p w:rsidR="0096449C" w:rsidRPr="003736FE" w:rsidRDefault="0096449C" w:rsidP="0096449C">
            <w:pPr>
              <w:pStyle w:val="Default"/>
              <w:spacing w:before="480" w:after="480"/>
              <w:rPr>
                <w:sz w:val="18"/>
                <w:szCs w:val="18"/>
              </w:rPr>
            </w:pPr>
            <w:r>
              <w:rPr>
                <w:b/>
                <w:bCs/>
                <w:sz w:val="18"/>
                <w:szCs w:val="18"/>
              </w:rPr>
              <w:t xml:space="preserve">7. Biological diversity in the landscape </w:t>
            </w:r>
          </w:p>
        </w:tc>
        <w:tc>
          <w:tcPr>
            <w:tcW w:w="3068" w:type="dxa"/>
          </w:tcPr>
          <w:p w:rsidR="0096449C" w:rsidRDefault="0096449C" w:rsidP="0096449C">
            <w:pPr>
              <w:spacing w:after="120"/>
              <w:rPr>
                <w:sz w:val="20"/>
                <w:szCs w:val="20"/>
              </w:rPr>
            </w:pPr>
            <w:r>
              <w:rPr>
                <w:sz w:val="20"/>
                <w:szCs w:val="20"/>
              </w:rPr>
              <w:t>1. An official definition and map of areas of high biodiversity value or critical ecosystems might not exist in some countries.</w:t>
            </w:r>
          </w:p>
          <w:p w:rsidR="0096449C" w:rsidRPr="005A5C0A" w:rsidRDefault="0096449C" w:rsidP="0096449C">
            <w:pPr>
              <w:spacing w:after="120"/>
              <w:rPr>
                <w:sz w:val="20"/>
                <w:szCs w:val="20"/>
              </w:rPr>
            </w:pPr>
          </w:p>
        </w:tc>
        <w:tc>
          <w:tcPr>
            <w:tcW w:w="2976" w:type="dxa"/>
          </w:tcPr>
          <w:p w:rsidR="0096449C" w:rsidRDefault="0096449C" w:rsidP="0096449C">
            <w:pPr>
              <w:spacing w:after="120"/>
              <w:rPr>
                <w:sz w:val="20"/>
                <w:szCs w:val="20"/>
              </w:rPr>
            </w:pPr>
            <w:r>
              <w:rPr>
                <w:sz w:val="20"/>
                <w:szCs w:val="20"/>
              </w:rPr>
              <w:t xml:space="preserve">1. </w:t>
            </w:r>
            <w:r w:rsidRPr="008F6295">
              <w:rPr>
                <w:sz w:val="20"/>
                <w:szCs w:val="20"/>
              </w:rPr>
              <w:t xml:space="preserve">When the areas concerned are either protected by law or tracked by national </w:t>
            </w:r>
            <w:proofErr w:type="spellStart"/>
            <w:r w:rsidRPr="008F6295">
              <w:rPr>
                <w:sz w:val="20"/>
                <w:szCs w:val="20"/>
              </w:rPr>
              <w:t>program</w:t>
            </w:r>
            <w:r>
              <w:rPr>
                <w:sz w:val="20"/>
                <w:szCs w:val="20"/>
              </w:rPr>
              <w:t>me</w:t>
            </w:r>
            <w:r w:rsidRPr="008F6295">
              <w:rPr>
                <w:sz w:val="20"/>
                <w:szCs w:val="20"/>
              </w:rPr>
              <w:t>s</w:t>
            </w:r>
            <w:proofErr w:type="spellEnd"/>
            <w:r w:rsidRPr="008F6295">
              <w:rPr>
                <w:sz w:val="20"/>
                <w:szCs w:val="20"/>
              </w:rPr>
              <w:t>, data should be available.</w:t>
            </w:r>
          </w:p>
          <w:p w:rsidR="0096449C" w:rsidRPr="008F6295" w:rsidRDefault="0096449C" w:rsidP="0096449C">
            <w:pPr>
              <w:spacing w:after="120"/>
              <w:rPr>
                <w:sz w:val="20"/>
                <w:szCs w:val="20"/>
              </w:rPr>
            </w:pPr>
            <w:r w:rsidRPr="008F6295">
              <w:rPr>
                <w:sz w:val="20"/>
                <w:szCs w:val="20"/>
              </w:rPr>
              <w:t>2.  T</w:t>
            </w:r>
            <w:r>
              <w:rPr>
                <w:sz w:val="20"/>
                <w:szCs w:val="20"/>
              </w:rPr>
              <w:t>he concept of “</w:t>
            </w:r>
            <w:r w:rsidRPr="008F6295">
              <w:rPr>
                <w:sz w:val="20"/>
                <w:szCs w:val="20"/>
              </w:rPr>
              <w:t>nat</w:t>
            </w:r>
            <w:r>
              <w:rPr>
                <w:sz w:val="20"/>
                <w:szCs w:val="20"/>
              </w:rPr>
              <w:t>ionally recognized areas”</w:t>
            </w:r>
            <w:r w:rsidRPr="008F6295">
              <w:rPr>
                <w:sz w:val="20"/>
                <w:szCs w:val="20"/>
              </w:rPr>
              <w:t xml:space="preserve"> is not enough. </w:t>
            </w:r>
            <w:r w:rsidRPr="008F6295">
              <w:rPr>
                <w:sz w:val="20"/>
                <w:szCs w:val="20"/>
              </w:rPr>
              <w:lastRenderedPageBreak/>
              <w:t>Areas of high biodiversity value or critical ecosystems are not always nationally recognized. This reflects on data appropriateness.</w:t>
            </w:r>
          </w:p>
          <w:p w:rsidR="0096449C" w:rsidRPr="00D12F31" w:rsidRDefault="0096449C" w:rsidP="0096449C">
            <w:pPr>
              <w:pStyle w:val="ListParagraph"/>
              <w:rPr>
                <w:sz w:val="20"/>
                <w:szCs w:val="20"/>
              </w:rPr>
            </w:pPr>
          </w:p>
          <w:p w:rsidR="0096449C" w:rsidRPr="00D12F31" w:rsidRDefault="0096449C" w:rsidP="0096449C">
            <w:pPr>
              <w:pStyle w:val="ListParagraph"/>
              <w:spacing w:after="120" w:line="240" w:lineRule="auto"/>
              <w:ind w:left="33"/>
              <w:rPr>
                <w:sz w:val="20"/>
                <w:szCs w:val="20"/>
              </w:rPr>
            </w:pPr>
          </w:p>
        </w:tc>
        <w:tc>
          <w:tcPr>
            <w:tcW w:w="3119" w:type="dxa"/>
          </w:tcPr>
          <w:p w:rsidR="0096449C" w:rsidRPr="005A5C0A" w:rsidRDefault="0096449C" w:rsidP="0096449C">
            <w:pPr>
              <w:spacing w:after="120"/>
              <w:rPr>
                <w:sz w:val="20"/>
                <w:szCs w:val="20"/>
              </w:rPr>
            </w:pPr>
            <w:r>
              <w:rPr>
                <w:sz w:val="20"/>
                <w:szCs w:val="20"/>
              </w:rPr>
              <w:lastRenderedPageBreak/>
              <w:t>1. Need to strengthen capacity at local level.</w:t>
            </w:r>
          </w:p>
        </w:tc>
        <w:tc>
          <w:tcPr>
            <w:tcW w:w="1817" w:type="dxa"/>
          </w:tcPr>
          <w:p w:rsidR="0096449C" w:rsidRPr="005A5C0A" w:rsidRDefault="0096449C" w:rsidP="0096449C">
            <w:pPr>
              <w:spacing w:after="120"/>
              <w:rPr>
                <w:sz w:val="20"/>
                <w:szCs w:val="20"/>
              </w:rPr>
            </w:pPr>
          </w:p>
        </w:tc>
        <w:tc>
          <w:tcPr>
            <w:tcW w:w="2520" w:type="dxa"/>
          </w:tcPr>
          <w:p w:rsidR="0096449C" w:rsidRDefault="0096449C" w:rsidP="0096449C">
            <w:pPr>
              <w:pStyle w:val="Default"/>
              <w:spacing w:after="120"/>
              <w:ind w:left="59"/>
              <w:rPr>
                <w:rFonts w:asciiTheme="minorHAnsi" w:hAnsiTheme="minorHAnsi"/>
                <w:sz w:val="20"/>
                <w:szCs w:val="20"/>
              </w:rPr>
            </w:pPr>
            <w:r>
              <w:rPr>
                <w:rFonts w:asciiTheme="minorHAnsi" w:hAnsiTheme="minorHAnsi"/>
                <w:sz w:val="20"/>
                <w:szCs w:val="20"/>
              </w:rPr>
              <w:t xml:space="preserve">1. When this indicator is measured, it is recommended to consider as well the areas of high biodiversity value or critical ecosystems that are not </w:t>
            </w:r>
            <w:r>
              <w:rPr>
                <w:rFonts w:asciiTheme="minorHAnsi" w:hAnsiTheme="minorHAnsi"/>
                <w:sz w:val="20"/>
                <w:szCs w:val="20"/>
              </w:rPr>
              <w:lastRenderedPageBreak/>
              <w:t>officially recognized and protected in the country.</w:t>
            </w:r>
          </w:p>
          <w:p w:rsidR="0096449C" w:rsidRPr="002908B6" w:rsidRDefault="0096449C" w:rsidP="0096449C">
            <w:pPr>
              <w:pStyle w:val="Default"/>
              <w:spacing w:after="120"/>
              <w:rPr>
                <w:rFonts w:asciiTheme="minorHAnsi" w:hAnsiTheme="minorHAnsi"/>
                <w:sz w:val="20"/>
                <w:szCs w:val="20"/>
              </w:rPr>
            </w:pPr>
            <w:r>
              <w:rPr>
                <w:rFonts w:asciiTheme="minorHAnsi" w:hAnsiTheme="minorHAnsi"/>
                <w:sz w:val="20"/>
                <w:szCs w:val="20"/>
              </w:rPr>
              <w:t xml:space="preserve">2. </w:t>
            </w:r>
            <w:r w:rsidRPr="002908B6">
              <w:rPr>
                <w:rFonts w:asciiTheme="minorHAnsi" w:hAnsiTheme="minorHAnsi"/>
                <w:sz w:val="20"/>
                <w:szCs w:val="20"/>
              </w:rPr>
              <w:t>The importance of habitat corridors between areas of high biodiversity value or critical ecosystems should be considered when measuring this indicator.</w:t>
            </w:r>
          </w:p>
          <w:p w:rsidR="0096449C" w:rsidRPr="002908B6" w:rsidRDefault="0096449C" w:rsidP="0096449C">
            <w:pPr>
              <w:pStyle w:val="Default"/>
              <w:spacing w:after="120"/>
              <w:rPr>
                <w:rFonts w:ascii="Calibri" w:hAnsi="Calibri" w:cs="Calibri"/>
                <w:color w:val="auto"/>
                <w:sz w:val="20"/>
                <w:szCs w:val="20"/>
                <w:lang w:val="en-CA"/>
              </w:rPr>
            </w:pPr>
            <w:r>
              <w:rPr>
                <w:rFonts w:asciiTheme="minorHAnsi" w:hAnsiTheme="minorHAnsi"/>
                <w:sz w:val="20"/>
                <w:szCs w:val="20"/>
              </w:rPr>
              <w:t xml:space="preserve">3. </w:t>
            </w:r>
            <w:r w:rsidRPr="009C4D3C">
              <w:rPr>
                <w:rFonts w:asciiTheme="minorHAnsi" w:hAnsiTheme="minorHAnsi"/>
                <w:sz w:val="20"/>
                <w:szCs w:val="20"/>
              </w:rPr>
              <w:t xml:space="preserve">A potential </w:t>
            </w:r>
            <w:r>
              <w:rPr>
                <w:rFonts w:asciiTheme="minorHAnsi" w:hAnsiTheme="minorHAnsi"/>
                <w:sz w:val="20"/>
                <w:szCs w:val="20"/>
              </w:rPr>
              <w:t>proxy</w:t>
            </w:r>
            <w:r w:rsidRPr="009C4D3C">
              <w:rPr>
                <w:rFonts w:asciiTheme="minorHAnsi" w:hAnsiTheme="minorHAnsi"/>
                <w:sz w:val="20"/>
                <w:szCs w:val="20"/>
              </w:rPr>
              <w:t xml:space="preserve"> for the impact on biodiversity is the change in the number of endangered and vulnerable species in key bioenergy production areas, especially in the lack of an official definition and map of nationally recognized areas of high biodiversity value or critical ecosystems</w:t>
            </w:r>
            <w:r>
              <w:rPr>
                <w:rFonts w:asciiTheme="minorHAnsi" w:hAnsiTheme="minorHAnsi"/>
                <w:sz w:val="20"/>
                <w:szCs w:val="20"/>
              </w:rPr>
              <w:t>.</w:t>
            </w:r>
          </w:p>
        </w:tc>
      </w:tr>
      <w:tr w:rsidR="0096449C" w:rsidTr="0096449C">
        <w:tc>
          <w:tcPr>
            <w:tcW w:w="1980" w:type="dxa"/>
            <w:vAlign w:val="center"/>
          </w:tcPr>
          <w:p w:rsidR="0096449C" w:rsidRPr="003736FE" w:rsidRDefault="0096449C" w:rsidP="0096449C">
            <w:pPr>
              <w:pStyle w:val="Default"/>
              <w:spacing w:before="480" w:after="480"/>
              <w:rPr>
                <w:sz w:val="18"/>
                <w:szCs w:val="18"/>
              </w:rPr>
            </w:pPr>
            <w:r>
              <w:rPr>
                <w:b/>
                <w:bCs/>
                <w:sz w:val="18"/>
                <w:szCs w:val="18"/>
              </w:rPr>
              <w:lastRenderedPageBreak/>
              <w:t>8. Land use and land-use change related to bioenergy feedstock production</w:t>
            </w:r>
          </w:p>
        </w:tc>
        <w:tc>
          <w:tcPr>
            <w:tcW w:w="3068" w:type="dxa"/>
          </w:tcPr>
          <w:p w:rsidR="0096449C" w:rsidRDefault="0096449C" w:rsidP="0096449C">
            <w:pPr>
              <w:spacing w:after="120"/>
              <w:rPr>
                <w:sz w:val="20"/>
                <w:szCs w:val="20"/>
              </w:rPr>
            </w:pPr>
            <w:r>
              <w:rPr>
                <w:sz w:val="20"/>
                <w:szCs w:val="20"/>
              </w:rPr>
              <w:t>1. It may be difficult to measure the conversion between land-use types caused by bioenergy feedstock production.</w:t>
            </w:r>
          </w:p>
          <w:p w:rsidR="0096449C" w:rsidRDefault="0096449C" w:rsidP="0096449C">
            <w:pPr>
              <w:spacing w:after="120"/>
              <w:rPr>
                <w:sz w:val="20"/>
                <w:szCs w:val="20"/>
              </w:rPr>
            </w:pPr>
            <w:r>
              <w:rPr>
                <w:sz w:val="20"/>
                <w:szCs w:val="20"/>
              </w:rPr>
              <w:t>3) A consistent time frame is important.</w:t>
            </w:r>
          </w:p>
          <w:p w:rsidR="0096449C" w:rsidRPr="005A5C0A" w:rsidRDefault="0096449C" w:rsidP="0096449C">
            <w:pPr>
              <w:spacing w:after="120"/>
              <w:rPr>
                <w:sz w:val="20"/>
                <w:szCs w:val="20"/>
              </w:rPr>
            </w:pPr>
            <w:r>
              <w:rPr>
                <w:sz w:val="20"/>
                <w:szCs w:val="20"/>
              </w:rPr>
              <w:t>4) Consistency in the categorization of land types and management practices is critical.</w:t>
            </w:r>
          </w:p>
          <w:p w:rsidR="0096449C" w:rsidRPr="005A5C0A" w:rsidRDefault="0096449C" w:rsidP="0096449C">
            <w:pPr>
              <w:spacing w:after="120"/>
              <w:rPr>
                <w:sz w:val="20"/>
                <w:szCs w:val="20"/>
              </w:rPr>
            </w:pPr>
          </w:p>
        </w:tc>
        <w:tc>
          <w:tcPr>
            <w:tcW w:w="2976" w:type="dxa"/>
          </w:tcPr>
          <w:p w:rsidR="0096449C" w:rsidRPr="00F12078" w:rsidRDefault="0096449C" w:rsidP="0096449C">
            <w:pPr>
              <w:spacing w:after="120"/>
              <w:ind w:left="33"/>
              <w:rPr>
                <w:sz w:val="20"/>
                <w:szCs w:val="20"/>
              </w:rPr>
            </w:pPr>
            <w:r w:rsidRPr="00F12078">
              <w:rPr>
                <w:sz w:val="20"/>
                <w:szCs w:val="20"/>
              </w:rPr>
              <w:t xml:space="preserve">1. Most land use is now categorized through remote sensing/satellite inventory. This may be complemented with ground </w:t>
            </w:r>
            <w:proofErr w:type="spellStart"/>
            <w:r w:rsidRPr="00F12078">
              <w:rPr>
                <w:sz w:val="20"/>
                <w:szCs w:val="20"/>
              </w:rPr>
              <w:t>truthing</w:t>
            </w:r>
            <w:proofErr w:type="spellEnd"/>
            <w:r w:rsidRPr="00F12078">
              <w:rPr>
                <w:sz w:val="20"/>
                <w:szCs w:val="20"/>
              </w:rPr>
              <w:t>, also in order to capture land management practices.</w:t>
            </w:r>
          </w:p>
        </w:tc>
        <w:tc>
          <w:tcPr>
            <w:tcW w:w="3119" w:type="dxa"/>
          </w:tcPr>
          <w:p w:rsidR="0096449C" w:rsidRPr="00D73EBD" w:rsidRDefault="0096449C" w:rsidP="0096449C">
            <w:pPr>
              <w:spacing w:after="120"/>
              <w:rPr>
                <w:sz w:val="20"/>
                <w:szCs w:val="20"/>
                <w:lang w:val="en-CA"/>
              </w:rPr>
            </w:pPr>
            <w:r>
              <w:rPr>
                <w:sz w:val="20"/>
                <w:szCs w:val="20"/>
                <w:lang w:val="en-CA"/>
              </w:rPr>
              <w:t>1. Relevant.</w:t>
            </w:r>
          </w:p>
        </w:tc>
        <w:tc>
          <w:tcPr>
            <w:tcW w:w="1817" w:type="dxa"/>
          </w:tcPr>
          <w:p w:rsidR="0096449C" w:rsidRPr="005A5C0A" w:rsidRDefault="0096449C" w:rsidP="0096449C">
            <w:pPr>
              <w:spacing w:after="120"/>
              <w:rPr>
                <w:sz w:val="20"/>
                <w:szCs w:val="20"/>
              </w:rPr>
            </w:pPr>
          </w:p>
        </w:tc>
        <w:tc>
          <w:tcPr>
            <w:tcW w:w="2520" w:type="dxa"/>
          </w:tcPr>
          <w:p w:rsidR="0096449C" w:rsidRDefault="0096449C" w:rsidP="0096449C">
            <w:pPr>
              <w:spacing w:after="120"/>
              <w:rPr>
                <w:sz w:val="20"/>
                <w:szCs w:val="20"/>
              </w:rPr>
            </w:pPr>
            <w:r>
              <w:rPr>
                <w:sz w:val="20"/>
                <w:szCs w:val="20"/>
              </w:rPr>
              <w:t>1. Mapping technologies may help with this indicator.</w:t>
            </w:r>
          </w:p>
          <w:p w:rsidR="0096449C" w:rsidRPr="00D12F31" w:rsidRDefault="0096449C" w:rsidP="0096449C">
            <w:pPr>
              <w:pStyle w:val="Default"/>
              <w:spacing w:after="120"/>
              <w:rPr>
                <w:rFonts w:asciiTheme="minorHAnsi" w:hAnsiTheme="minorHAnsi"/>
                <w:sz w:val="20"/>
                <w:szCs w:val="20"/>
              </w:rPr>
            </w:pPr>
            <w:r>
              <w:rPr>
                <w:rFonts w:asciiTheme="minorHAnsi" w:hAnsiTheme="minorHAnsi"/>
                <w:sz w:val="20"/>
                <w:szCs w:val="20"/>
              </w:rPr>
              <w:t>2. Data to be used as a ‘baseline’ would be very useful.</w:t>
            </w:r>
          </w:p>
        </w:tc>
      </w:tr>
    </w:tbl>
    <w:p w:rsidR="0096449C" w:rsidRDefault="0096449C" w:rsidP="0096449C">
      <w:pPr>
        <w:spacing w:after="120"/>
      </w:pPr>
    </w:p>
    <w:p w:rsidR="0096449C" w:rsidRDefault="0096449C" w:rsidP="0096449C">
      <w:pPr>
        <w:spacing w:after="120"/>
      </w:pPr>
    </w:p>
    <w:p w:rsidR="0096449C" w:rsidRDefault="0096449C" w:rsidP="0096449C">
      <w:pPr>
        <w:spacing w:after="120"/>
      </w:pPr>
    </w:p>
    <w:p w:rsidR="0096449C" w:rsidRDefault="0096449C" w:rsidP="0096449C">
      <w:pPr>
        <w:spacing w:after="120"/>
      </w:pPr>
    </w:p>
    <w:p w:rsidR="0096449C" w:rsidRDefault="0096449C" w:rsidP="0096449C">
      <w:pPr>
        <w:spacing w:after="120"/>
      </w:pPr>
    </w:p>
    <w:p w:rsidR="0096449C" w:rsidRDefault="0096449C" w:rsidP="0096449C">
      <w:pPr>
        <w:jc w:val="center"/>
        <w:rPr>
          <w:b/>
          <w:bCs/>
          <w:sz w:val="28"/>
          <w:szCs w:val="28"/>
        </w:rPr>
      </w:pPr>
    </w:p>
    <w:p w:rsidR="0096449C" w:rsidRPr="00C77B2F" w:rsidRDefault="0096449C" w:rsidP="0096449C">
      <w:pPr>
        <w:jc w:val="center"/>
        <w:rPr>
          <w:b/>
          <w:bCs/>
          <w:sz w:val="28"/>
          <w:szCs w:val="28"/>
        </w:rPr>
      </w:pPr>
      <w:r w:rsidRPr="00607961">
        <w:rPr>
          <w:b/>
          <w:bCs/>
          <w:sz w:val="26"/>
          <w:szCs w:val="26"/>
        </w:rPr>
        <w:lastRenderedPageBreak/>
        <w:t>SOCIAL PILLAR</w:t>
      </w:r>
    </w:p>
    <w:p w:rsidR="0096449C" w:rsidRPr="002258EC" w:rsidRDefault="0096449C" w:rsidP="0096449C">
      <w:pPr>
        <w:pStyle w:val="Default"/>
        <w:rPr>
          <w:rFonts w:asciiTheme="minorHAnsi" w:hAnsiTheme="minorHAnsi"/>
          <w:b/>
          <w:bCs/>
          <w:sz w:val="20"/>
          <w:szCs w:val="20"/>
        </w:rPr>
      </w:pPr>
    </w:p>
    <w:tbl>
      <w:tblPr>
        <w:tblStyle w:val="TableGrid"/>
        <w:tblW w:w="15480" w:type="dxa"/>
        <w:tblInd w:w="-545" w:type="dxa"/>
        <w:tblLook w:val="04A0" w:firstRow="1" w:lastRow="0" w:firstColumn="1" w:lastColumn="0" w:noHBand="0" w:noVBand="1"/>
      </w:tblPr>
      <w:tblGrid>
        <w:gridCol w:w="1961"/>
        <w:gridCol w:w="3087"/>
        <w:gridCol w:w="2976"/>
        <w:gridCol w:w="3119"/>
        <w:gridCol w:w="1843"/>
        <w:gridCol w:w="2494"/>
      </w:tblGrid>
      <w:tr w:rsidR="0096449C" w:rsidTr="0096449C">
        <w:tc>
          <w:tcPr>
            <w:tcW w:w="1961" w:type="dxa"/>
          </w:tcPr>
          <w:p w:rsidR="0096449C" w:rsidRPr="00C17876" w:rsidRDefault="0096449C" w:rsidP="0096449C">
            <w:pPr>
              <w:pStyle w:val="Default"/>
              <w:rPr>
                <w:b/>
                <w:sz w:val="20"/>
                <w:szCs w:val="20"/>
              </w:rPr>
            </w:pPr>
            <w:r w:rsidRPr="00C17876">
              <w:rPr>
                <w:b/>
                <w:sz w:val="20"/>
                <w:szCs w:val="20"/>
              </w:rPr>
              <w:t>INDICATOR NAME</w:t>
            </w:r>
          </w:p>
        </w:tc>
        <w:tc>
          <w:tcPr>
            <w:tcW w:w="3087" w:type="dxa"/>
          </w:tcPr>
          <w:p w:rsidR="0096449C" w:rsidRPr="00C17876" w:rsidRDefault="0096449C" w:rsidP="0096449C">
            <w:pPr>
              <w:pStyle w:val="Default"/>
              <w:ind w:left="-9"/>
              <w:rPr>
                <w:b/>
                <w:sz w:val="20"/>
                <w:szCs w:val="20"/>
              </w:rPr>
            </w:pPr>
            <w:r>
              <w:rPr>
                <w:b/>
                <w:sz w:val="20"/>
                <w:szCs w:val="20"/>
              </w:rPr>
              <w:t>1</w:t>
            </w:r>
            <w:r w:rsidRPr="00C17876">
              <w:rPr>
                <w:b/>
                <w:sz w:val="20"/>
                <w:szCs w:val="20"/>
              </w:rPr>
              <w:t xml:space="preserve">) </w:t>
            </w:r>
            <w:r>
              <w:rPr>
                <w:b/>
                <w:sz w:val="20"/>
                <w:szCs w:val="20"/>
              </w:rPr>
              <w:t>Which are the major challenges when measuring this indicator</w:t>
            </w:r>
            <w:r w:rsidRPr="00C17876">
              <w:rPr>
                <w:b/>
                <w:sz w:val="20"/>
                <w:szCs w:val="20"/>
              </w:rPr>
              <w:t>?</w:t>
            </w:r>
            <w:r>
              <w:rPr>
                <w:b/>
                <w:sz w:val="20"/>
                <w:szCs w:val="20"/>
              </w:rPr>
              <w:t xml:space="preserve"> </w:t>
            </w:r>
          </w:p>
          <w:p w:rsidR="0096449C" w:rsidRPr="00C17876" w:rsidRDefault="0096449C" w:rsidP="0096449C">
            <w:pPr>
              <w:pStyle w:val="Default"/>
              <w:ind w:left="-29" w:right="-108"/>
              <w:rPr>
                <w:b/>
                <w:sz w:val="20"/>
                <w:szCs w:val="20"/>
              </w:rPr>
            </w:pPr>
          </w:p>
        </w:tc>
        <w:tc>
          <w:tcPr>
            <w:tcW w:w="2976" w:type="dxa"/>
          </w:tcPr>
          <w:p w:rsidR="0096449C" w:rsidRDefault="0096449C" w:rsidP="0096449C">
            <w:pPr>
              <w:pStyle w:val="Default"/>
              <w:ind w:left="-9"/>
              <w:rPr>
                <w:b/>
                <w:sz w:val="20"/>
                <w:szCs w:val="20"/>
              </w:rPr>
            </w:pPr>
            <w:r>
              <w:rPr>
                <w:b/>
                <w:sz w:val="20"/>
                <w:szCs w:val="20"/>
              </w:rPr>
              <w:t>2</w:t>
            </w:r>
            <w:r w:rsidRPr="00C17876">
              <w:rPr>
                <w:b/>
                <w:sz w:val="20"/>
                <w:szCs w:val="20"/>
              </w:rPr>
              <w:t xml:space="preserve">) </w:t>
            </w:r>
            <w:r>
              <w:rPr>
                <w:b/>
                <w:sz w:val="20"/>
                <w:szCs w:val="20"/>
              </w:rPr>
              <w:t>Data availability</w:t>
            </w:r>
            <w:r w:rsidRPr="00C17876">
              <w:rPr>
                <w:b/>
                <w:sz w:val="20"/>
                <w:szCs w:val="20"/>
              </w:rPr>
              <w:t>?</w:t>
            </w:r>
          </w:p>
          <w:p w:rsidR="0096449C" w:rsidRDefault="0096449C" w:rsidP="0096449C">
            <w:pPr>
              <w:pStyle w:val="Default"/>
              <w:ind w:left="-9"/>
              <w:rPr>
                <w:b/>
                <w:sz w:val="20"/>
                <w:szCs w:val="20"/>
              </w:rPr>
            </w:pPr>
            <w:r>
              <w:rPr>
                <w:b/>
                <w:sz w:val="20"/>
                <w:szCs w:val="20"/>
              </w:rPr>
              <w:t>Data appropriateness?</w:t>
            </w:r>
          </w:p>
          <w:p w:rsidR="0096449C" w:rsidRPr="00C17876" w:rsidRDefault="0096449C" w:rsidP="0096449C">
            <w:pPr>
              <w:pStyle w:val="Default"/>
              <w:ind w:left="-9"/>
              <w:rPr>
                <w:b/>
                <w:sz w:val="20"/>
                <w:szCs w:val="20"/>
              </w:rPr>
            </w:pPr>
          </w:p>
        </w:tc>
        <w:tc>
          <w:tcPr>
            <w:tcW w:w="3119" w:type="dxa"/>
          </w:tcPr>
          <w:p w:rsidR="0096449C" w:rsidRPr="00C17876" w:rsidRDefault="0096449C" w:rsidP="0096449C">
            <w:pPr>
              <w:pStyle w:val="Default"/>
              <w:ind w:left="-9"/>
              <w:rPr>
                <w:b/>
                <w:sz w:val="20"/>
                <w:szCs w:val="20"/>
              </w:rPr>
            </w:pPr>
            <w:r w:rsidRPr="00C17876">
              <w:rPr>
                <w:b/>
                <w:sz w:val="20"/>
                <w:szCs w:val="20"/>
              </w:rPr>
              <w:t xml:space="preserve">3) </w:t>
            </w:r>
            <w:r>
              <w:rPr>
                <w:b/>
                <w:sz w:val="20"/>
                <w:szCs w:val="20"/>
              </w:rPr>
              <w:t>How relevant is capacity building</w:t>
            </w:r>
            <w:r w:rsidRPr="00C17876">
              <w:rPr>
                <w:b/>
                <w:sz w:val="20"/>
                <w:szCs w:val="20"/>
              </w:rPr>
              <w:t>?</w:t>
            </w:r>
          </w:p>
        </w:tc>
        <w:tc>
          <w:tcPr>
            <w:tcW w:w="1843" w:type="dxa"/>
          </w:tcPr>
          <w:p w:rsidR="0096449C" w:rsidRPr="00C17876" w:rsidRDefault="0096449C" w:rsidP="0096449C">
            <w:pPr>
              <w:pStyle w:val="Default"/>
              <w:ind w:left="-9"/>
              <w:rPr>
                <w:b/>
                <w:sz w:val="20"/>
                <w:szCs w:val="20"/>
              </w:rPr>
            </w:pPr>
            <w:r>
              <w:rPr>
                <w:b/>
                <w:sz w:val="20"/>
                <w:szCs w:val="20"/>
              </w:rPr>
              <w:t>4) Any other fundamental obstacle?</w:t>
            </w:r>
          </w:p>
        </w:tc>
        <w:tc>
          <w:tcPr>
            <w:tcW w:w="2494" w:type="dxa"/>
          </w:tcPr>
          <w:p w:rsidR="0096449C" w:rsidRPr="00C17876" w:rsidRDefault="0096449C" w:rsidP="0096449C">
            <w:pPr>
              <w:pStyle w:val="Default"/>
              <w:ind w:left="-9"/>
              <w:rPr>
                <w:b/>
                <w:sz w:val="20"/>
                <w:szCs w:val="20"/>
              </w:rPr>
            </w:pPr>
            <w:r>
              <w:rPr>
                <w:b/>
                <w:sz w:val="20"/>
                <w:szCs w:val="20"/>
              </w:rPr>
              <w:t>5) Comments.</w:t>
            </w:r>
          </w:p>
        </w:tc>
      </w:tr>
      <w:tr w:rsidR="0096449C" w:rsidTr="0096449C">
        <w:trPr>
          <w:trHeight w:val="4123"/>
        </w:trPr>
        <w:tc>
          <w:tcPr>
            <w:tcW w:w="1961" w:type="dxa"/>
            <w:vAlign w:val="center"/>
          </w:tcPr>
          <w:p w:rsidR="0096449C" w:rsidRPr="003736FE" w:rsidRDefault="0096449C" w:rsidP="0096449C">
            <w:pPr>
              <w:pStyle w:val="Default"/>
              <w:spacing w:before="120" w:after="120"/>
              <w:rPr>
                <w:sz w:val="18"/>
                <w:szCs w:val="18"/>
              </w:rPr>
            </w:pPr>
            <w:r>
              <w:rPr>
                <w:b/>
                <w:bCs/>
                <w:sz w:val="18"/>
                <w:szCs w:val="18"/>
              </w:rPr>
              <w:t xml:space="preserve">9. Allocation and tenure of land for new bioenergy production </w:t>
            </w:r>
          </w:p>
        </w:tc>
        <w:tc>
          <w:tcPr>
            <w:tcW w:w="3087" w:type="dxa"/>
          </w:tcPr>
          <w:p w:rsidR="0096449C" w:rsidRDefault="0096449C" w:rsidP="0096449C">
            <w:pPr>
              <w:spacing w:before="120" w:after="120"/>
              <w:rPr>
                <w:sz w:val="20"/>
                <w:szCs w:val="20"/>
              </w:rPr>
            </w:pPr>
            <w:r w:rsidRPr="0050103A">
              <w:rPr>
                <w:sz w:val="20"/>
                <w:szCs w:val="20"/>
              </w:rPr>
              <w:t>1</w:t>
            </w:r>
            <w:r>
              <w:rPr>
                <w:sz w:val="20"/>
                <w:szCs w:val="20"/>
              </w:rPr>
              <w:t>.</w:t>
            </w:r>
            <w:r w:rsidRPr="0050103A">
              <w:rPr>
                <w:sz w:val="20"/>
                <w:szCs w:val="20"/>
              </w:rPr>
              <w:t xml:space="preserve"> Concept of “new” bioenergy production is complex to define because in many cases bioenergy is produced from </w:t>
            </w:r>
            <w:proofErr w:type="spellStart"/>
            <w:r w:rsidRPr="0050103A">
              <w:rPr>
                <w:sz w:val="20"/>
                <w:szCs w:val="20"/>
              </w:rPr>
              <w:t>feedstocks</w:t>
            </w:r>
            <w:proofErr w:type="spellEnd"/>
            <w:r w:rsidRPr="0050103A">
              <w:rPr>
                <w:sz w:val="20"/>
                <w:szCs w:val="20"/>
              </w:rPr>
              <w:t xml:space="preserve"> that are not dedicated solely to energy purposes (e.g. sugarcane</w:t>
            </w:r>
            <w:r>
              <w:rPr>
                <w:sz w:val="20"/>
                <w:szCs w:val="20"/>
              </w:rPr>
              <w:t>, oil palm, soybean, etc.</w:t>
            </w:r>
            <w:r w:rsidRPr="0050103A">
              <w:rPr>
                <w:sz w:val="20"/>
                <w:szCs w:val="20"/>
              </w:rPr>
              <w:t>).</w:t>
            </w:r>
          </w:p>
          <w:p w:rsidR="0096449C" w:rsidRPr="0050103A" w:rsidRDefault="0096449C" w:rsidP="0096449C">
            <w:pPr>
              <w:spacing w:before="120" w:after="120"/>
              <w:rPr>
                <w:sz w:val="20"/>
                <w:szCs w:val="20"/>
              </w:rPr>
            </w:pPr>
            <w:r>
              <w:rPr>
                <w:sz w:val="20"/>
                <w:szCs w:val="20"/>
              </w:rPr>
              <w:t xml:space="preserve">2. </w:t>
            </w:r>
            <w:r w:rsidRPr="003F1D02">
              <w:rPr>
                <w:sz w:val="20"/>
                <w:szCs w:val="20"/>
              </w:rPr>
              <w:t>Data availability might be an issue in some developing countries.</w:t>
            </w:r>
          </w:p>
        </w:tc>
        <w:tc>
          <w:tcPr>
            <w:tcW w:w="2976" w:type="dxa"/>
          </w:tcPr>
          <w:p w:rsidR="0096449C" w:rsidRPr="0050103A" w:rsidRDefault="0096449C" w:rsidP="0096449C">
            <w:pPr>
              <w:pStyle w:val="Default"/>
              <w:spacing w:before="120" w:after="120"/>
              <w:rPr>
                <w:rFonts w:asciiTheme="minorHAnsi" w:hAnsiTheme="minorHAnsi"/>
                <w:sz w:val="20"/>
                <w:szCs w:val="20"/>
              </w:rPr>
            </w:pPr>
            <w:r>
              <w:rPr>
                <w:rFonts w:asciiTheme="minorHAnsi" w:hAnsiTheme="minorHAnsi"/>
                <w:sz w:val="20"/>
                <w:szCs w:val="20"/>
              </w:rPr>
              <w:t xml:space="preserve">1. Lack of data, especially in the case of areas recently converted to the production of bioenergy </w:t>
            </w:r>
            <w:proofErr w:type="spellStart"/>
            <w:r>
              <w:rPr>
                <w:rFonts w:asciiTheme="minorHAnsi" w:hAnsiTheme="minorHAnsi"/>
                <w:sz w:val="20"/>
                <w:szCs w:val="20"/>
              </w:rPr>
              <w:t>feedstocks</w:t>
            </w:r>
            <w:proofErr w:type="spellEnd"/>
            <w:r>
              <w:rPr>
                <w:rFonts w:asciiTheme="minorHAnsi" w:hAnsiTheme="minorHAnsi"/>
                <w:sz w:val="20"/>
                <w:szCs w:val="20"/>
              </w:rPr>
              <w:t xml:space="preserve">. </w:t>
            </w:r>
          </w:p>
        </w:tc>
        <w:tc>
          <w:tcPr>
            <w:tcW w:w="3119" w:type="dxa"/>
          </w:tcPr>
          <w:p w:rsidR="0096449C" w:rsidRPr="0050103A" w:rsidRDefault="0096449C" w:rsidP="0096449C">
            <w:pPr>
              <w:pStyle w:val="Default"/>
              <w:spacing w:before="120" w:after="120"/>
              <w:rPr>
                <w:rFonts w:asciiTheme="minorHAnsi" w:hAnsiTheme="minorHAnsi"/>
                <w:sz w:val="20"/>
                <w:szCs w:val="20"/>
              </w:rPr>
            </w:pPr>
            <w:r>
              <w:rPr>
                <w:rFonts w:asciiTheme="minorHAnsi" w:hAnsiTheme="minorHAnsi"/>
                <w:sz w:val="20"/>
                <w:szCs w:val="20"/>
              </w:rPr>
              <w:t>1. Relevant, given the complexity of tenure-related issues.</w:t>
            </w:r>
          </w:p>
        </w:tc>
        <w:tc>
          <w:tcPr>
            <w:tcW w:w="1843" w:type="dxa"/>
          </w:tcPr>
          <w:p w:rsidR="0096449C" w:rsidRPr="0050103A" w:rsidRDefault="0096449C" w:rsidP="0096449C">
            <w:pPr>
              <w:pStyle w:val="Default"/>
              <w:spacing w:before="120" w:after="120"/>
              <w:rPr>
                <w:rFonts w:asciiTheme="minorHAnsi" w:hAnsiTheme="minorHAnsi"/>
                <w:sz w:val="20"/>
                <w:szCs w:val="20"/>
              </w:rPr>
            </w:pPr>
            <w:r w:rsidRPr="0050103A">
              <w:rPr>
                <w:rFonts w:asciiTheme="minorHAnsi" w:hAnsiTheme="minorHAnsi"/>
                <w:sz w:val="20"/>
                <w:szCs w:val="20"/>
              </w:rPr>
              <w:t xml:space="preserve"> </w:t>
            </w:r>
          </w:p>
        </w:tc>
        <w:tc>
          <w:tcPr>
            <w:tcW w:w="2494" w:type="dxa"/>
          </w:tcPr>
          <w:p w:rsidR="0096449C" w:rsidRPr="0050103A" w:rsidRDefault="0096449C" w:rsidP="0096449C">
            <w:pPr>
              <w:pStyle w:val="Default"/>
              <w:spacing w:before="120" w:after="120"/>
              <w:rPr>
                <w:rFonts w:asciiTheme="minorHAnsi" w:hAnsiTheme="minorHAnsi"/>
                <w:sz w:val="20"/>
                <w:szCs w:val="20"/>
              </w:rPr>
            </w:pPr>
            <w:r>
              <w:rPr>
                <w:rFonts w:asciiTheme="minorHAnsi" w:hAnsiTheme="minorHAnsi"/>
                <w:sz w:val="20"/>
                <w:szCs w:val="20"/>
              </w:rPr>
              <w:t>1. If the required data is not available, a pragmatic approach that may be used</w:t>
            </w:r>
            <w:r w:rsidRPr="003F1D02">
              <w:rPr>
                <w:rFonts w:asciiTheme="minorHAnsi" w:hAnsiTheme="minorHAnsi"/>
                <w:sz w:val="20"/>
                <w:szCs w:val="20"/>
              </w:rPr>
              <w:t xml:space="preserve"> i</w:t>
            </w:r>
            <w:r>
              <w:rPr>
                <w:rFonts w:asciiTheme="minorHAnsi" w:hAnsiTheme="minorHAnsi"/>
                <w:sz w:val="20"/>
                <w:szCs w:val="20"/>
              </w:rPr>
              <w:t xml:space="preserve">s to </w:t>
            </w:r>
            <w:proofErr w:type="spellStart"/>
            <w:r w:rsidRPr="003F1D02">
              <w:rPr>
                <w:rFonts w:asciiTheme="minorHAnsi" w:hAnsiTheme="minorHAnsi"/>
                <w:sz w:val="20"/>
                <w:szCs w:val="20"/>
              </w:rPr>
              <w:t>analyse</w:t>
            </w:r>
            <w:proofErr w:type="spellEnd"/>
            <w:r w:rsidRPr="003F1D02">
              <w:rPr>
                <w:rFonts w:asciiTheme="minorHAnsi" w:hAnsiTheme="minorHAnsi"/>
                <w:sz w:val="20"/>
                <w:szCs w:val="20"/>
              </w:rPr>
              <w:t xml:space="preserve"> key variables</w:t>
            </w:r>
            <w:r>
              <w:rPr>
                <w:rFonts w:asciiTheme="minorHAnsi" w:hAnsiTheme="minorHAnsi"/>
                <w:sz w:val="20"/>
                <w:szCs w:val="20"/>
              </w:rPr>
              <w:t xml:space="preserve"> </w:t>
            </w:r>
            <w:r w:rsidRPr="003F1D02">
              <w:rPr>
                <w:rFonts w:asciiTheme="minorHAnsi" w:hAnsiTheme="minorHAnsi"/>
                <w:sz w:val="20"/>
                <w:szCs w:val="20"/>
              </w:rPr>
              <w:t xml:space="preserve">closely related to land allocation and tenure, </w:t>
            </w:r>
            <w:r>
              <w:rPr>
                <w:rFonts w:asciiTheme="minorHAnsi" w:hAnsiTheme="minorHAnsi"/>
                <w:sz w:val="20"/>
                <w:szCs w:val="20"/>
              </w:rPr>
              <w:t xml:space="preserve">such as </w:t>
            </w:r>
            <w:r w:rsidRPr="003F1D02">
              <w:rPr>
                <w:rFonts w:asciiTheme="minorHAnsi" w:hAnsiTheme="minorHAnsi"/>
                <w:sz w:val="20"/>
                <w:szCs w:val="20"/>
              </w:rPr>
              <w:t>the structure of land ownership,</w:t>
            </w:r>
            <w:r>
              <w:rPr>
                <w:rFonts w:asciiTheme="minorHAnsi" w:hAnsiTheme="minorHAnsi"/>
                <w:sz w:val="20"/>
                <w:szCs w:val="20"/>
              </w:rPr>
              <w:t xml:space="preserve"> </w:t>
            </w:r>
            <w:r w:rsidRPr="003F1D02">
              <w:rPr>
                <w:rFonts w:asciiTheme="minorHAnsi" w:hAnsiTheme="minorHAnsi"/>
                <w:sz w:val="20"/>
                <w:szCs w:val="20"/>
              </w:rPr>
              <w:t>the size and distribution of farms, and the various types of business models found along</w:t>
            </w:r>
            <w:r>
              <w:rPr>
                <w:rFonts w:asciiTheme="minorHAnsi" w:hAnsiTheme="minorHAnsi"/>
                <w:sz w:val="20"/>
                <w:szCs w:val="20"/>
              </w:rPr>
              <w:t xml:space="preserve"> </w:t>
            </w:r>
            <w:r w:rsidRPr="003F1D02">
              <w:rPr>
                <w:rFonts w:asciiTheme="minorHAnsi" w:hAnsiTheme="minorHAnsi"/>
                <w:sz w:val="20"/>
                <w:szCs w:val="20"/>
              </w:rPr>
              <w:t>the bioenergy supply chain</w:t>
            </w:r>
            <w:r>
              <w:rPr>
                <w:rFonts w:asciiTheme="minorHAnsi" w:hAnsiTheme="minorHAnsi"/>
                <w:sz w:val="20"/>
                <w:szCs w:val="20"/>
              </w:rPr>
              <w:t>.</w:t>
            </w:r>
          </w:p>
        </w:tc>
      </w:tr>
      <w:tr w:rsidR="0096449C" w:rsidTr="0096449C">
        <w:tc>
          <w:tcPr>
            <w:tcW w:w="1961" w:type="dxa"/>
            <w:vAlign w:val="center"/>
          </w:tcPr>
          <w:p w:rsidR="0096449C" w:rsidRPr="003736FE" w:rsidRDefault="0096449C" w:rsidP="0096449C">
            <w:pPr>
              <w:pStyle w:val="Default"/>
              <w:spacing w:before="120" w:after="120"/>
              <w:rPr>
                <w:sz w:val="18"/>
                <w:szCs w:val="18"/>
              </w:rPr>
            </w:pPr>
            <w:r>
              <w:rPr>
                <w:b/>
                <w:bCs/>
                <w:sz w:val="18"/>
                <w:szCs w:val="18"/>
              </w:rPr>
              <w:t xml:space="preserve">10. Price and supply of a national food basket </w:t>
            </w:r>
          </w:p>
        </w:tc>
        <w:tc>
          <w:tcPr>
            <w:tcW w:w="3087" w:type="dxa"/>
          </w:tcPr>
          <w:p w:rsidR="0096449C" w:rsidRPr="0050103A" w:rsidRDefault="0096449C" w:rsidP="0096449C">
            <w:pPr>
              <w:pStyle w:val="Default"/>
              <w:spacing w:before="120" w:after="120"/>
              <w:rPr>
                <w:rFonts w:asciiTheme="minorHAnsi" w:hAnsiTheme="minorHAnsi"/>
                <w:sz w:val="20"/>
                <w:szCs w:val="20"/>
              </w:rPr>
            </w:pPr>
            <w:r>
              <w:rPr>
                <w:rFonts w:asciiTheme="minorHAnsi" w:hAnsiTheme="minorHAnsi"/>
                <w:sz w:val="20"/>
                <w:szCs w:val="20"/>
              </w:rPr>
              <w:t>1. For some countries the measurement of this indicator might be quite burdensome and external support might be needed. In particular,</w:t>
            </w:r>
            <w:r w:rsidRPr="0050103A">
              <w:rPr>
                <w:rFonts w:asciiTheme="minorHAnsi" w:hAnsiTheme="minorHAnsi"/>
                <w:sz w:val="20"/>
                <w:szCs w:val="20"/>
              </w:rPr>
              <w:t xml:space="preserve"> </w:t>
            </w:r>
            <w:r>
              <w:rPr>
                <w:rFonts w:asciiTheme="minorHAnsi" w:hAnsiTheme="minorHAnsi"/>
                <w:sz w:val="20"/>
                <w:szCs w:val="20"/>
              </w:rPr>
              <w:t xml:space="preserve">the ‘Causal descriptive assessment’ (i.e. Step 2, tier II) </w:t>
            </w:r>
            <w:r w:rsidRPr="0050103A">
              <w:rPr>
                <w:rFonts w:asciiTheme="minorHAnsi" w:hAnsiTheme="minorHAnsi"/>
                <w:sz w:val="20"/>
                <w:szCs w:val="20"/>
              </w:rPr>
              <w:t xml:space="preserve">requires </w:t>
            </w:r>
            <w:r>
              <w:rPr>
                <w:rFonts w:asciiTheme="minorHAnsi" w:hAnsiTheme="minorHAnsi"/>
                <w:sz w:val="20"/>
                <w:szCs w:val="20"/>
              </w:rPr>
              <w:t xml:space="preserve">the active engagement of </w:t>
            </w:r>
            <w:r w:rsidRPr="0050103A">
              <w:rPr>
                <w:rFonts w:asciiTheme="minorHAnsi" w:hAnsiTheme="minorHAnsi"/>
                <w:sz w:val="20"/>
                <w:szCs w:val="20"/>
              </w:rPr>
              <w:t xml:space="preserve">a </w:t>
            </w:r>
            <w:r>
              <w:rPr>
                <w:rFonts w:asciiTheme="minorHAnsi" w:hAnsiTheme="minorHAnsi"/>
                <w:sz w:val="20"/>
                <w:szCs w:val="20"/>
              </w:rPr>
              <w:t xml:space="preserve">broad range of experts and </w:t>
            </w:r>
            <w:r w:rsidRPr="0050103A">
              <w:rPr>
                <w:rFonts w:asciiTheme="minorHAnsi" w:hAnsiTheme="minorHAnsi"/>
                <w:sz w:val="20"/>
                <w:szCs w:val="20"/>
              </w:rPr>
              <w:t>stakeholders</w:t>
            </w:r>
            <w:r>
              <w:rPr>
                <w:rFonts w:asciiTheme="minorHAnsi" w:hAnsiTheme="minorHAnsi"/>
                <w:sz w:val="20"/>
                <w:szCs w:val="20"/>
              </w:rPr>
              <w:t xml:space="preserve">, while the ‘Quantitative assessment’ </w:t>
            </w:r>
            <w:r w:rsidRPr="0050103A">
              <w:rPr>
                <w:rFonts w:asciiTheme="minorHAnsi" w:hAnsiTheme="minorHAnsi"/>
                <w:sz w:val="20"/>
                <w:szCs w:val="20"/>
              </w:rPr>
              <w:t>(</w:t>
            </w:r>
            <w:r>
              <w:rPr>
                <w:rFonts w:asciiTheme="minorHAnsi" w:hAnsiTheme="minorHAnsi"/>
                <w:sz w:val="20"/>
                <w:szCs w:val="20"/>
              </w:rPr>
              <w:t>i.e. Step 2, t</w:t>
            </w:r>
            <w:r w:rsidRPr="0050103A">
              <w:rPr>
                <w:rFonts w:asciiTheme="minorHAnsi" w:hAnsiTheme="minorHAnsi"/>
                <w:sz w:val="20"/>
                <w:szCs w:val="20"/>
              </w:rPr>
              <w:t>ier II</w:t>
            </w:r>
            <w:r>
              <w:rPr>
                <w:rFonts w:asciiTheme="minorHAnsi" w:hAnsiTheme="minorHAnsi"/>
                <w:sz w:val="20"/>
                <w:szCs w:val="20"/>
              </w:rPr>
              <w:t>I</w:t>
            </w:r>
            <w:r w:rsidRPr="0050103A">
              <w:rPr>
                <w:rFonts w:asciiTheme="minorHAnsi" w:hAnsiTheme="minorHAnsi"/>
                <w:sz w:val="20"/>
                <w:szCs w:val="20"/>
              </w:rPr>
              <w:t>)</w:t>
            </w:r>
            <w:r>
              <w:rPr>
                <w:rFonts w:asciiTheme="minorHAnsi" w:hAnsiTheme="minorHAnsi"/>
                <w:sz w:val="20"/>
                <w:szCs w:val="20"/>
              </w:rPr>
              <w:t xml:space="preserve"> entails</w:t>
            </w:r>
            <w:r w:rsidRPr="0050103A">
              <w:rPr>
                <w:rFonts w:asciiTheme="minorHAnsi" w:hAnsiTheme="minorHAnsi"/>
                <w:sz w:val="20"/>
                <w:szCs w:val="20"/>
              </w:rPr>
              <w:t xml:space="preserve"> sophisticated </w:t>
            </w:r>
            <w:r>
              <w:rPr>
                <w:rFonts w:asciiTheme="minorHAnsi" w:hAnsiTheme="minorHAnsi"/>
                <w:sz w:val="20"/>
                <w:szCs w:val="20"/>
              </w:rPr>
              <w:t xml:space="preserve">modelling and </w:t>
            </w:r>
            <w:r w:rsidRPr="0050103A">
              <w:rPr>
                <w:rFonts w:asciiTheme="minorHAnsi" w:hAnsiTheme="minorHAnsi"/>
                <w:sz w:val="20"/>
                <w:szCs w:val="20"/>
              </w:rPr>
              <w:t>analysis</w:t>
            </w:r>
            <w:r>
              <w:rPr>
                <w:rFonts w:asciiTheme="minorHAnsi" w:hAnsiTheme="minorHAnsi"/>
                <w:sz w:val="20"/>
                <w:szCs w:val="20"/>
              </w:rPr>
              <w:t>.</w:t>
            </w:r>
          </w:p>
        </w:tc>
        <w:tc>
          <w:tcPr>
            <w:tcW w:w="2976" w:type="dxa"/>
          </w:tcPr>
          <w:p w:rsidR="0096449C" w:rsidRPr="0050103A" w:rsidRDefault="0096449C" w:rsidP="0096449C">
            <w:pPr>
              <w:pStyle w:val="Default"/>
              <w:spacing w:before="120" w:after="120"/>
              <w:rPr>
                <w:rFonts w:asciiTheme="minorHAnsi" w:hAnsiTheme="minorHAnsi"/>
                <w:sz w:val="20"/>
                <w:szCs w:val="20"/>
              </w:rPr>
            </w:pPr>
            <w:r>
              <w:rPr>
                <w:rFonts w:asciiTheme="minorHAnsi" w:hAnsiTheme="minorHAnsi"/>
                <w:sz w:val="20"/>
                <w:szCs w:val="20"/>
              </w:rPr>
              <w:t>1. This indicator is very data intensive. However, in most cases d</w:t>
            </w:r>
            <w:r w:rsidRPr="0050103A">
              <w:rPr>
                <w:rFonts w:asciiTheme="minorHAnsi" w:hAnsiTheme="minorHAnsi"/>
                <w:sz w:val="20"/>
                <w:szCs w:val="20"/>
              </w:rPr>
              <w:t xml:space="preserve">ata </w:t>
            </w:r>
            <w:r>
              <w:rPr>
                <w:rFonts w:asciiTheme="minorHAnsi" w:hAnsiTheme="minorHAnsi"/>
                <w:sz w:val="20"/>
                <w:szCs w:val="20"/>
              </w:rPr>
              <w:t>is</w:t>
            </w:r>
            <w:r w:rsidRPr="0050103A">
              <w:rPr>
                <w:rFonts w:asciiTheme="minorHAnsi" w:hAnsiTheme="minorHAnsi"/>
                <w:sz w:val="20"/>
                <w:szCs w:val="20"/>
              </w:rPr>
              <w:t xml:space="preserve"> available (e.g. </w:t>
            </w:r>
            <w:r>
              <w:rPr>
                <w:rFonts w:asciiTheme="minorHAnsi" w:hAnsiTheme="minorHAnsi"/>
                <w:sz w:val="20"/>
                <w:szCs w:val="20"/>
              </w:rPr>
              <w:t xml:space="preserve">from </w:t>
            </w:r>
            <w:r w:rsidRPr="0050103A">
              <w:rPr>
                <w:rFonts w:asciiTheme="minorHAnsi" w:hAnsiTheme="minorHAnsi"/>
                <w:sz w:val="20"/>
                <w:szCs w:val="20"/>
              </w:rPr>
              <w:t>FAOSTAT,</w:t>
            </w:r>
            <w:r>
              <w:rPr>
                <w:rFonts w:asciiTheme="minorHAnsi" w:hAnsiTheme="minorHAnsi"/>
                <w:sz w:val="20"/>
                <w:szCs w:val="20"/>
              </w:rPr>
              <w:t xml:space="preserve"> National Statistics Office and</w:t>
            </w:r>
            <w:r w:rsidRPr="0050103A">
              <w:rPr>
                <w:rFonts w:asciiTheme="minorHAnsi" w:hAnsiTheme="minorHAnsi"/>
                <w:sz w:val="20"/>
                <w:szCs w:val="20"/>
              </w:rPr>
              <w:t xml:space="preserve"> Ministry of Agriculture</w:t>
            </w:r>
            <w:r>
              <w:rPr>
                <w:rFonts w:asciiTheme="minorHAnsi" w:hAnsiTheme="minorHAnsi"/>
                <w:sz w:val="20"/>
                <w:szCs w:val="20"/>
              </w:rPr>
              <w:t>).</w:t>
            </w:r>
          </w:p>
        </w:tc>
        <w:tc>
          <w:tcPr>
            <w:tcW w:w="3119" w:type="dxa"/>
          </w:tcPr>
          <w:p w:rsidR="0096449C" w:rsidRPr="007C7F48" w:rsidRDefault="0096449C" w:rsidP="0096449C">
            <w:pPr>
              <w:pStyle w:val="Default"/>
              <w:spacing w:before="120" w:after="120"/>
              <w:ind w:left="34"/>
              <w:rPr>
                <w:rFonts w:asciiTheme="minorHAnsi" w:hAnsiTheme="minorHAnsi"/>
                <w:sz w:val="20"/>
                <w:szCs w:val="20"/>
              </w:rPr>
            </w:pPr>
            <w:r>
              <w:rPr>
                <w:rFonts w:asciiTheme="minorHAnsi" w:hAnsiTheme="minorHAnsi"/>
                <w:sz w:val="20"/>
                <w:szCs w:val="20"/>
              </w:rPr>
              <w:t xml:space="preserve">1. Given the complexity of this indicator and of the issues addressed by it, </w:t>
            </w:r>
            <w:r w:rsidRPr="0050103A">
              <w:rPr>
                <w:rFonts w:asciiTheme="minorHAnsi" w:hAnsiTheme="minorHAnsi"/>
                <w:sz w:val="20"/>
                <w:szCs w:val="20"/>
              </w:rPr>
              <w:t>specific training at both policy and technical level is fundamental</w:t>
            </w:r>
            <w:r>
              <w:rPr>
                <w:rFonts w:asciiTheme="minorHAnsi" w:hAnsiTheme="minorHAnsi"/>
                <w:sz w:val="20"/>
                <w:szCs w:val="20"/>
              </w:rPr>
              <w:t xml:space="preserve">, </w:t>
            </w:r>
            <w:r w:rsidRPr="007C7F48">
              <w:rPr>
                <w:rFonts w:asciiTheme="minorHAnsi" w:hAnsiTheme="minorHAnsi"/>
                <w:sz w:val="20"/>
                <w:szCs w:val="20"/>
              </w:rPr>
              <w:t>e</w:t>
            </w:r>
            <w:r>
              <w:rPr>
                <w:rFonts w:asciiTheme="minorHAnsi" w:hAnsiTheme="minorHAnsi"/>
                <w:sz w:val="20"/>
                <w:szCs w:val="20"/>
              </w:rPr>
              <w:t>.</w:t>
            </w:r>
            <w:r w:rsidRPr="007C7F48">
              <w:rPr>
                <w:rFonts w:asciiTheme="minorHAnsi" w:hAnsiTheme="minorHAnsi"/>
                <w:sz w:val="20"/>
                <w:szCs w:val="20"/>
              </w:rPr>
              <w:t>g</w:t>
            </w:r>
            <w:r>
              <w:rPr>
                <w:rFonts w:asciiTheme="minorHAnsi" w:hAnsiTheme="minorHAnsi"/>
                <w:sz w:val="20"/>
                <w:szCs w:val="20"/>
              </w:rPr>
              <w:t>.</w:t>
            </w:r>
            <w:r w:rsidRPr="007C7F48">
              <w:rPr>
                <w:rFonts w:asciiTheme="minorHAnsi" w:hAnsiTheme="minorHAnsi"/>
                <w:sz w:val="20"/>
                <w:szCs w:val="20"/>
              </w:rPr>
              <w:t xml:space="preserve"> on the Causal Descriptive Assessment</w:t>
            </w:r>
            <w:r>
              <w:rPr>
                <w:rFonts w:asciiTheme="minorHAnsi" w:hAnsiTheme="minorHAnsi"/>
                <w:sz w:val="20"/>
                <w:szCs w:val="20"/>
              </w:rPr>
              <w:t xml:space="preserve">, </w:t>
            </w:r>
            <w:r w:rsidRPr="007C7F48">
              <w:rPr>
                <w:rFonts w:asciiTheme="minorHAnsi" w:hAnsiTheme="minorHAnsi"/>
                <w:sz w:val="20"/>
                <w:szCs w:val="20"/>
              </w:rPr>
              <w:t xml:space="preserve">on the </w:t>
            </w:r>
            <w:r w:rsidRPr="007C7F48">
              <w:rPr>
                <w:rFonts w:asciiTheme="minorHAnsi" w:hAnsiTheme="minorHAnsi"/>
                <w:sz w:val="20"/>
                <w:szCs w:val="20"/>
                <w:lang w:val="en-GB"/>
              </w:rPr>
              <w:t>AGLINK COSIMO model</w:t>
            </w:r>
            <w:r>
              <w:rPr>
                <w:rFonts w:asciiTheme="minorHAnsi" w:hAnsiTheme="minorHAnsi"/>
                <w:sz w:val="20"/>
                <w:szCs w:val="20"/>
                <w:lang w:val="en-GB"/>
              </w:rPr>
              <w:t>, and on the analysis and interpretation of the results of both.</w:t>
            </w:r>
          </w:p>
        </w:tc>
        <w:tc>
          <w:tcPr>
            <w:tcW w:w="1843" w:type="dxa"/>
          </w:tcPr>
          <w:p w:rsidR="0096449C" w:rsidRPr="0050103A" w:rsidRDefault="0096449C" w:rsidP="0096449C">
            <w:pPr>
              <w:pStyle w:val="Default"/>
              <w:spacing w:before="120" w:after="120"/>
              <w:rPr>
                <w:rFonts w:asciiTheme="minorHAnsi" w:hAnsiTheme="minorHAnsi"/>
                <w:sz w:val="20"/>
                <w:szCs w:val="20"/>
              </w:rPr>
            </w:pPr>
          </w:p>
        </w:tc>
        <w:tc>
          <w:tcPr>
            <w:tcW w:w="2494" w:type="dxa"/>
          </w:tcPr>
          <w:p w:rsidR="0096449C" w:rsidRPr="0050103A" w:rsidRDefault="0096449C" w:rsidP="0096449C">
            <w:pPr>
              <w:pStyle w:val="Default"/>
              <w:spacing w:before="120" w:after="120"/>
              <w:ind w:left="720"/>
              <w:rPr>
                <w:rFonts w:asciiTheme="minorHAnsi" w:hAnsiTheme="minorHAnsi"/>
                <w:sz w:val="20"/>
                <w:szCs w:val="20"/>
              </w:rPr>
            </w:pPr>
          </w:p>
        </w:tc>
      </w:tr>
      <w:tr w:rsidR="0096449C" w:rsidTr="0096449C">
        <w:tc>
          <w:tcPr>
            <w:tcW w:w="1961" w:type="dxa"/>
            <w:vAlign w:val="center"/>
          </w:tcPr>
          <w:p w:rsidR="0096449C" w:rsidRPr="003736FE" w:rsidRDefault="0096449C" w:rsidP="0096449C">
            <w:pPr>
              <w:pStyle w:val="Default"/>
              <w:spacing w:before="120" w:after="120"/>
              <w:rPr>
                <w:sz w:val="18"/>
                <w:szCs w:val="18"/>
              </w:rPr>
            </w:pPr>
            <w:r>
              <w:rPr>
                <w:b/>
                <w:bCs/>
                <w:sz w:val="18"/>
                <w:szCs w:val="18"/>
              </w:rPr>
              <w:t xml:space="preserve">11. Change in income </w:t>
            </w:r>
          </w:p>
        </w:tc>
        <w:tc>
          <w:tcPr>
            <w:tcW w:w="3087" w:type="dxa"/>
          </w:tcPr>
          <w:p w:rsidR="0096449C" w:rsidRPr="0050103A" w:rsidRDefault="0096449C" w:rsidP="0096449C">
            <w:pPr>
              <w:spacing w:before="120" w:after="120"/>
              <w:rPr>
                <w:sz w:val="20"/>
                <w:szCs w:val="20"/>
              </w:rPr>
            </w:pPr>
            <w:r w:rsidRPr="0050103A">
              <w:rPr>
                <w:sz w:val="20"/>
                <w:szCs w:val="20"/>
              </w:rPr>
              <w:t>1</w:t>
            </w:r>
            <w:r>
              <w:rPr>
                <w:sz w:val="20"/>
                <w:szCs w:val="20"/>
              </w:rPr>
              <w:t>.</w:t>
            </w:r>
            <w:r w:rsidRPr="0050103A">
              <w:rPr>
                <w:sz w:val="20"/>
                <w:szCs w:val="20"/>
              </w:rPr>
              <w:t xml:space="preserve"> </w:t>
            </w:r>
            <w:r>
              <w:rPr>
                <w:sz w:val="20"/>
                <w:szCs w:val="20"/>
              </w:rPr>
              <w:t xml:space="preserve">It may be difficult </w:t>
            </w:r>
            <w:r w:rsidRPr="0050103A">
              <w:rPr>
                <w:sz w:val="20"/>
                <w:szCs w:val="20"/>
              </w:rPr>
              <w:t>to attribute</w:t>
            </w:r>
            <w:r>
              <w:rPr>
                <w:sz w:val="20"/>
                <w:szCs w:val="20"/>
              </w:rPr>
              <w:t xml:space="preserve"> changes in income</w:t>
            </w:r>
            <w:r w:rsidRPr="0050103A">
              <w:rPr>
                <w:sz w:val="20"/>
                <w:szCs w:val="20"/>
              </w:rPr>
              <w:t xml:space="preserve"> to bioenergy</w:t>
            </w:r>
            <w:r>
              <w:rPr>
                <w:sz w:val="20"/>
                <w:szCs w:val="20"/>
              </w:rPr>
              <w:t xml:space="preserve"> production.</w:t>
            </w:r>
          </w:p>
          <w:p w:rsidR="0096449C" w:rsidRPr="0050103A" w:rsidRDefault="0096449C" w:rsidP="0096449C">
            <w:pPr>
              <w:spacing w:before="120" w:after="120"/>
              <w:rPr>
                <w:sz w:val="20"/>
                <w:szCs w:val="20"/>
              </w:rPr>
            </w:pPr>
            <w:r>
              <w:rPr>
                <w:sz w:val="20"/>
                <w:szCs w:val="20"/>
              </w:rPr>
              <w:t xml:space="preserve">2. </w:t>
            </w:r>
            <w:r w:rsidRPr="003F1D02">
              <w:rPr>
                <w:sz w:val="20"/>
                <w:szCs w:val="20"/>
              </w:rPr>
              <w:t xml:space="preserve">Data availability might be an issue in some developing </w:t>
            </w:r>
            <w:r w:rsidRPr="003F1D02">
              <w:rPr>
                <w:sz w:val="20"/>
                <w:szCs w:val="20"/>
              </w:rPr>
              <w:lastRenderedPageBreak/>
              <w:t>countries.</w:t>
            </w:r>
          </w:p>
        </w:tc>
        <w:tc>
          <w:tcPr>
            <w:tcW w:w="2976" w:type="dxa"/>
          </w:tcPr>
          <w:p w:rsidR="0096449C" w:rsidRPr="00462038" w:rsidRDefault="0096449C" w:rsidP="0096449C">
            <w:pPr>
              <w:autoSpaceDE w:val="0"/>
              <w:autoSpaceDN w:val="0"/>
              <w:adjustRightInd w:val="0"/>
              <w:rPr>
                <w:sz w:val="20"/>
                <w:szCs w:val="20"/>
              </w:rPr>
            </w:pPr>
            <w:r>
              <w:rPr>
                <w:sz w:val="20"/>
                <w:szCs w:val="20"/>
              </w:rPr>
              <w:lastRenderedPageBreak/>
              <w:t>1. A</w:t>
            </w:r>
            <w:r w:rsidRPr="00462038">
              <w:rPr>
                <w:sz w:val="20"/>
                <w:szCs w:val="20"/>
              </w:rPr>
              <w:t xml:space="preserve">vailability of - and access to - detailed data related to wages and prices might be an issue in a number of countries, due among other things to the commercially sensitive nature of part of this </w:t>
            </w:r>
            <w:r w:rsidRPr="00462038">
              <w:rPr>
                <w:sz w:val="20"/>
                <w:szCs w:val="20"/>
              </w:rPr>
              <w:lastRenderedPageBreak/>
              <w:t>information.</w:t>
            </w:r>
            <w:r>
              <w:rPr>
                <w:sz w:val="20"/>
                <w:szCs w:val="20"/>
              </w:rPr>
              <w:t xml:space="preserve"> Cooperatives and associations of workers and producers may represent good sources of data.</w:t>
            </w:r>
          </w:p>
          <w:p w:rsidR="0096449C" w:rsidRDefault="0096449C" w:rsidP="0096449C">
            <w:pPr>
              <w:spacing w:before="120" w:after="120"/>
              <w:rPr>
                <w:sz w:val="20"/>
                <w:szCs w:val="20"/>
              </w:rPr>
            </w:pPr>
            <w:r>
              <w:rPr>
                <w:sz w:val="20"/>
                <w:szCs w:val="20"/>
              </w:rPr>
              <w:t>2. Disaggregated d</w:t>
            </w:r>
            <w:r w:rsidRPr="0050103A">
              <w:rPr>
                <w:sz w:val="20"/>
                <w:szCs w:val="20"/>
              </w:rPr>
              <w:t>ata</w:t>
            </w:r>
            <w:r>
              <w:rPr>
                <w:sz w:val="20"/>
                <w:szCs w:val="20"/>
              </w:rPr>
              <w:t xml:space="preserve"> for bioenergy specifically is often not available. Data on wages, in particular, tend to be available by broader sectors, e.g. agriculture and industry. </w:t>
            </w:r>
          </w:p>
          <w:p w:rsidR="0096449C" w:rsidRPr="0050103A" w:rsidRDefault="0096449C" w:rsidP="0096449C">
            <w:pPr>
              <w:spacing w:before="120" w:after="120"/>
              <w:rPr>
                <w:sz w:val="20"/>
                <w:szCs w:val="20"/>
              </w:rPr>
            </w:pPr>
            <w:r>
              <w:rPr>
                <w:sz w:val="20"/>
                <w:szCs w:val="20"/>
              </w:rPr>
              <w:t>3. In some cases, the compensation received by wage workers includes goods (e.g. food, sugar, etc.) and services. The available data might not always properly account for this.</w:t>
            </w:r>
          </w:p>
        </w:tc>
        <w:tc>
          <w:tcPr>
            <w:tcW w:w="3119" w:type="dxa"/>
          </w:tcPr>
          <w:p w:rsidR="0096449C" w:rsidRPr="0050103A" w:rsidRDefault="0096449C" w:rsidP="0096449C">
            <w:pPr>
              <w:spacing w:before="120" w:after="120"/>
              <w:rPr>
                <w:sz w:val="20"/>
                <w:szCs w:val="20"/>
              </w:rPr>
            </w:pPr>
          </w:p>
        </w:tc>
        <w:tc>
          <w:tcPr>
            <w:tcW w:w="1843" w:type="dxa"/>
          </w:tcPr>
          <w:p w:rsidR="0096449C" w:rsidRPr="0050103A" w:rsidRDefault="0096449C" w:rsidP="0096449C">
            <w:pPr>
              <w:spacing w:before="120" w:after="120"/>
              <w:rPr>
                <w:sz w:val="20"/>
                <w:szCs w:val="20"/>
              </w:rPr>
            </w:pPr>
          </w:p>
        </w:tc>
        <w:tc>
          <w:tcPr>
            <w:tcW w:w="2494" w:type="dxa"/>
          </w:tcPr>
          <w:p w:rsidR="0096449C" w:rsidRDefault="0096449C" w:rsidP="0096449C">
            <w:pPr>
              <w:spacing w:before="120" w:after="120"/>
              <w:rPr>
                <w:sz w:val="20"/>
                <w:szCs w:val="20"/>
              </w:rPr>
            </w:pPr>
            <w:r>
              <w:rPr>
                <w:sz w:val="20"/>
                <w:szCs w:val="20"/>
              </w:rPr>
              <w:t>1. H</w:t>
            </w:r>
            <w:r w:rsidRPr="00984DDF">
              <w:rPr>
                <w:sz w:val="20"/>
                <w:szCs w:val="20"/>
              </w:rPr>
              <w:t xml:space="preserve">ousehold income of those employed in the bioenergy industry is a useful indicator of well-being and is measured as </w:t>
            </w:r>
            <w:r w:rsidRPr="00984DDF">
              <w:rPr>
                <w:sz w:val="20"/>
                <w:szCs w:val="20"/>
              </w:rPr>
              <w:lastRenderedPageBreak/>
              <w:t xml:space="preserve">financial compensation received by workers for their </w:t>
            </w:r>
            <w:proofErr w:type="spellStart"/>
            <w:r w:rsidRPr="00984DDF">
              <w:rPr>
                <w:sz w:val="20"/>
                <w:szCs w:val="20"/>
              </w:rPr>
              <w:t>labo</w:t>
            </w:r>
            <w:r>
              <w:rPr>
                <w:sz w:val="20"/>
                <w:szCs w:val="20"/>
              </w:rPr>
              <w:t>u</w:t>
            </w:r>
            <w:r w:rsidRPr="00984DDF">
              <w:rPr>
                <w:sz w:val="20"/>
                <w:szCs w:val="20"/>
              </w:rPr>
              <w:t>r</w:t>
            </w:r>
            <w:proofErr w:type="spellEnd"/>
            <w:r w:rsidRPr="00984DDF">
              <w:rPr>
                <w:sz w:val="20"/>
                <w:szCs w:val="20"/>
              </w:rPr>
              <w:t>. As with other indicators, the income should be attributable to biofuels and distinct from other non-bioenergy-related income.</w:t>
            </w:r>
          </w:p>
          <w:p w:rsidR="0096449C" w:rsidRDefault="0096449C" w:rsidP="0096449C">
            <w:pPr>
              <w:spacing w:before="120" w:after="120"/>
              <w:rPr>
                <w:sz w:val="20"/>
                <w:szCs w:val="20"/>
              </w:rPr>
            </w:pPr>
            <w:r>
              <w:rPr>
                <w:sz w:val="20"/>
                <w:szCs w:val="20"/>
              </w:rPr>
              <w:t>2. When this indicator is measured, inflation-adjusted figures should be used and the effect of feed-in tariffs (if any) should be considered.</w:t>
            </w:r>
          </w:p>
          <w:p w:rsidR="0096449C" w:rsidRPr="00984DDF" w:rsidRDefault="0096449C" w:rsidP="0096449C">
            <w:pPr>
              <w:spacing w:before="120" w:after="120"/>
              <w:rPr>
                <w:sz w:val="20"/>
                <w:szCs w:val="20"/>
              </w:rPr>
            </w:pPr>
          </w:p>
          <w:p w:rsidR="0096449C" w:rsidRPr="00E26F8A" w:rsidRDefault="0096449C" w:rsidP="0096449C">
            <w:pPr>
              <w:spacing w:before="120" w:after="120"/>
              <w:rPr>
                <w:sz w:val="20"/>
                <w:szCs w:val="20"/>
              </w:rPr>
            </w:pPr>
          </w:p>
        </w:tc>
      </w:tr>
      <w:tr w:rsidR="0096449C" w:rsidTr="0096449C">
        <w:tc>
          <w:tcPr>
            <w:tcW w:w="1961" w:type="dxa"/>
            <w:vAlign w:val="center"/>
          </w:tcPr>
          <w:p w:rsidR="0096449C" w:rsidRPr="003736FE" w:rsidRDefault="0096449C" w:rsidP="0096449C">
            <w:pPr>
              <w:pStyle w:val="Default"/>
              <w:spacing w:before="120" w:after="120"/>
              <w:rPr>
                <w:sz w:val="18"/>
                <w:szCs w:val="18"/>
              </w:rPr>
            </w:pPr>
            <w:r>
              <w:rPr>
                <w:b/>
                <w:bCs/>
                <w:sz w:val="18"/>
                <w:szCs w:val="18"/>
              </w:rPr>
              <w:lastRenderedPageBreak/>
              <w:t xml:space="preserve">12. Jobs in the bioenergy sector </w:t>
            </w:r>
          </w:p>
        </w:tc>
        <w:tc>
          <w:tcPr>
            <w:tcW w:w="3087" w:type="dxa"/>
          </w:tcPr>
          <w:p w:rsidR="0096449C" w:rsidRPr="0050103A" w:rsidRDefault="0096449C" w:rsidP="0096449C">
            <w:pPr>
              <w:spacing w:before="120" w:after="120"/>
              <w:rPr>
                <w:sz w:val="20"/>
                <w:szCs w:val="20"/>
              </w:rPr>
            </w:pPr>
            <w:r>
              <w:rPr>
                <w:sz w:val="20"/>
                <w:szCs w:val="20"/>
              </w:rPr>
              <w:t>1.</w:t>
            </w:r>
            <w:r w:rsidRPr="0050103A">
              <w:rPr>
                <w:sz w:val="20"/>
                <w:szCs w:val="20"/>
              </w:rPr>
              <w:t xml:space="preserve"> </w:t>
            </w:r>
            <w:r>
              <w:rPr>
                <w:sz w:val="20"/>
                <w:szCs w:val="20"/>
              </w:rPr>
              <w:t>It may be difficult to determine the exact number of jobs created and lost/displaced as a result of bioenergy production and use.</w:t>
            </w:r>
          </w:p>
          <w:p w:rsidR="0096449C" w:rsidRPr="0050103A" w:rsidRDefault="0096449C" w:rsidP="0096449C">
            <w:pPr>
              <w:spacing w:before="120" w:after="120"/>
              <w:rPr>
                <w:sz w:val="20"/>
                <w:szCs w:val="20"/>
              </w:rPr>
            </w:pPr>
            <w:r>
              <w:rPr>
                <w:sz w:val="20"/>
                <w:szCs w:val="20"/>
              </w:rPr>
              <w:t xml:space="preserve">2. </w:t>
            </w:r>
            <w:r w:rsidRPr="003F1D02">
              <w:rPr>
                <w:sz w:val="20"/>
                <w:szCs w:val="20"/>
              </w:rPr>
              <w:t>Data availability might be an issue in some developing countries.</w:t>
            </w:r>
          </w:p>
        </w:tc>
        <w:tc>
          <w:tcPr>
            <w:tcW w:w="2976" w:type="dxa"/>
          </w:tcPr>
          <w:p w:rsidR="0096449C" w:rsidRPr="0050103A" w:rsidRDefault="0096449C" w:rsidP="0096449C">
            <w:pPr>
              <w:spacing w:before="120" w:after="120"/>
              <w:rPr>
                <w:sz w:val="20"/>
                <w:szCs w:val="20"/>
              </w:rPr>
            </w:pPr>
            <w:r>
              <w:rPr>
                <w:sz w:val="20"/>
                <w:szCs w:val="20"/>
              </w:rPr>
              <w:t xml:space="preserve">1. Given the relative novelty of the bioenergy sector, data may be scarce. In particular, disaggregated data for bioenergy production specifically is often not available, neither on the feedstock side nor on the processing side. Bioenergy-specific data disaggregated into skilled/unskilled and temporary/indefinite jobs is even </w:t>
            </w:r>
            <w:proofErr w:type="gramStart"/>
            <w:r>
              <w:rPr>
                <w:sz w:val="20"/>
                <w:szCs w:val="20"/>
              </w:rPr>
              <w:t>more rare</w:t>
            </w:r>
            <w:proofErr w:type="gramEnd"/>
            <w:r>
              <w:rPr>
                <w:sz w:val="20"/>
                <w:szCs w:val="20"/>
              </w:rPr>
              <w:t>.</w:t>
            </w:r>
          </w:p>
        </w:tc>
        <w:tc>
          <w:tcPr>
            <w:tcW w:w="3119" w:type="dxa"/>
          </w:tcPr>
          <w:p w:rsidR="0096449C" w:rsidRPr="0050103A" w:rsidRDefault="0096449C" w:rsidP="0096449C">
            <w:pPr>
              <w:spacing w:before="120" w:after="120"/>
              <w:rPr>
                <w:sz w:val="20"/>
                <w:szCs w:val="20"/>
              </w:rPr>
            </w:pPr>
            <w:r>
              <w:rPr>
                <w:sz w:val="20"/>
                <w:szCs w:val="20"/>
              </w:rPr>
              <w:t>1. Relevant.</w:t>
            </w:r>
          </w:p>
        </w:tc>
        <w:tc>
          <w:tcPr>
            <w:tcW w:w="1843" w:type="dxa"/>
          </w:tcPr>
          <w:p w:rsidR="0096449C" w:rsidRPr="0050103A" w:rsidRDefault="0096449C" w:rsidP="0096449C">
            <w:pPr>
              <w:spacing w:before="120" w:after="120"/>
              <w:rPr>
                <w:sz w:val="20"/>
                <w:szCs w:val="20"/>
              </w:rPr>
            </w:pPr>
            <w:r>
              <w:rPr>
                <w:sz w:val="20"/>
                <w:szCs w:val="20"/>
              </w:rPr>
              <w:t xml:space="preserve">1. Markets are changing dynamically </w:t>
            </w:r>
            <w:r w:rsidRPr="004D7F2D">
              <w:rPr>
                <w:sz w:val="20"/>
                <w:szCs w:val="20"/>
              </w:rPr>
              <w:sym w:font="Wingdings" w:char="F0E0"/>
            </w:r>
            <w:r>
              <w:rPr>
                <w:sz w:val="20"/>
                <w:szCs w:val="20"/>
              </w:rPr>
              <w:t xml:space="preserve"> changes situation of jobs.</w:t>
            </w:r>
          </w:p>
        </w:tc>
        <w:tc>
          <w:tcPr>
            <w:tcW w:w="2494" w:type="dxa"/>
          </w:tcPr>
          <w:p w:rsidR="0096449C" w:rsidRPr="00FF1AF0" w:rsidRDefault="0096449C" w:rsidP="0096449C">
            <w:pPr>
              <w:spacing w:before="120" w:after="120"/>
              <w:rPr>
                <w:sz w:val="20"/>
                <w:szCs w:val="20"/>
              </w:rPr>
            </w:pPr>
            <w:r>
              <w:rPr>
                <w:sz w:val="20"/>
                <w:szCs w:val="20"/>
              </w:rPr>
              <w:t xml:space="preserve">1. </w:t>
            </w:r>
            <w:r w:rsidRPr="00FF1AF0">
              <w:rPr>
                <w:sz w:val="20"/>
                <w:szCs w:val="20"/>
              </w:rPr>
              <w:t>Further guidance would be useful on the measurement and estimation of jobs lost/displaced as a result of bioenergy production and use (to give net job creation figure).</w:t>
            </w:r>
          </w:p>
        </w:tc>
      </w:tr>
      <w:tr w:rsidR="0096449C" w:rsidRPr="005D5ED0" w:rsidTr="0096449C">
        <w:tc>
          <w:tcPr>
            <w:tcW w:w="1961" w:type="dxa"/>
            <w:vAlign w:val="center"/>
          </w:tcPr>
          <w:p w:rsidR="0096449C" w:rsidRPr="004361E7" w:rsidRDefault="0096449C" w:rsidP="0096449C">
            <w:pPr>
              <w:pStyle w:val="Default"/>
              <w:spacing w:before="120" w:after="120"/>
              <w:rPr>
                <w:sz w:val="18"/>
                <w:szCs w:val="18"/>
              </w:rPr>
            </w:pPr>
            <w:r>
              <w:rPr>
                <w:b/>
                <w:bCs/>
                <w:sz w:val="18"/>
                <w:szCs w:val="18"/>
              </w:rPr>
              <w:t xml:space="preserve">13. Change in unpaid time spent by women and children collecting biomass </w:t>
            </w:r>
          </w:p>
        </w:tc>
        <w:tc>
          <w:tcPr>
            <w:tcW w:w="3087" w:type="dxa"/>
          </w:tcPr>
          <w:p w:rsidR="0096449C" w:rsidRDefault="0096449C" w:rsidP="0096449C">
            <w:pPr>
              <w:pStyle w:val="Default"/>
              <w:spacing w:before="120" w:after="120"/>
              <w:rPr>
                <w:rFonts w:asciiTheme="minorHAnsi" w:hAnsiTheme="minorHAnsi" w:cstheme="minorBidi"/>
                <w:color w:val="auto"/>
                <w:sz w:val="20"/>
                <w:szCs w:val="20"/>
              </w:rPr>
            </w:pPr>
            <w:r w:rsidRPr="0050103A">
              <w:rPr>
                <w:rFonts w:asciiTheme="minorHAnsi" w:hAnsiTheme="minorHAnsi" w:cstheme="minorBidi"/>
                <w:color w:val="auto"/>
                <w:sz w:val="20"/>
                <w:szCs w:val="20"/>
              </w:rPr>
              <w:t>1</w:t>
            </w:r>
            <w:r>
              <w:rPr>
                <w:rFonts w:asciiTheme="minorHAnsi" w:hAnsiTheme="minorHAnsi" w:cstheme="minorBidi"/>
                <w:color w:val="auto"/>
                <w:sz w:val="20"/>
                <w:szCs w:val="20"/>
              </w:rPr>
              <w:t>. This indicator</w:t>
            </w:r>
            <w:r w:rsidRPr="0050103A">
              <w:rPr>
                <w:rFonts w:asciiTheme="minorHAnsi" w:hAnsiTheme="minorHAnsi" w:cstheme="minorBidi"/>
                <w:color w:val="auto"/>
                <w:sz w:val="20"/>
                <w:szCs w:val="20"/>
              </w:rPr>
              <w:t xml:space="preserve"> relies heavily on surveys</w:t>
            </w:r>
            <w:r>
              <w:rPr>
                <w:rFonts w:asciiTheme="minorHAnsi" w:hAnsiTheme="minorHAnsi" w:cstheme="minorBidi"/>
                <w:color w:val="auto"/>
                <w:sz w:val="20"/>
                <w:szCs w:val="20"/>
              </w:rPr>
              <w:t xml:space="preserve"> and thus may be </w:t>
            </w:r>
            <w:r w:rsidRPr="0050103A">
              <w:rPr>
                <w:rFonts w:asciiTheme="minorHAnsi" w:hAnsiTheme="minorHAnsi" w:cstheme="minorBidi"/>
                <w:color w:val="auto"/>
                <w:sz w:val="20"/>
                <w:szCs w:val="20"/>
              </w:rPr>
              <w:t>resource intensive</w:t>
            </w:r>
            <w:r>
              <w:rPr>
                <w:rFonts w:asciiTheme="minorHAnsi" w:hAnsiTheme="minorHAnsi" w:cstheme="minorBidi"/>
                <w:color w:val="auto"/>
                <w:sz w:val="20"/>
                <w:szCs w:val="20"/>
              </w:rPr>
              <w:t>.</w:t>
            </w:r>
          </w:p>
          <w:p w:rsidR="0096449C" w:rsidRPr="0050103A" w:rsidRDefault="0096449C" w:rsidP="0096449C">
            <w:pPr>
              <w:pStyle w:val="Default"/>
              <w:spacing w:before="120" w:after="120"/>
              <w:rPr>
                <w:rFonts w:asciiTheme="minorHAnsi" w:hAnsiTheme="minorHAnsi" w:cstheme="minorBidi"/>
                <w:color w:val="auto"/>
                <w:sz w:val="20"/>
                <w:szCs w:val="20"/>
              </w:rPr>
            </w:pPr>
            <w:r>
              <w:rPr>
                <w:rFonts w:asciiTheme="minorHAnsi" w:hAnsiTheme="minorHAnsi" w:cstheme="minorBidi"/>
                <w:color w:val="auto"/>
                <w:sz w:val="20"/>
                <w:szCs w:val="20"/>
              </w:rPr>
              <w:t>2. D</w:t>
            </w:r>
            <w:r w:rsidRPr="000B722F">
              <w:rPr>
                <w:rFonts w:asciiTheme="minorHAnsi" w:hAnsiTheme="minorHAnsi" w:cstheme="minorBidi"/>
                <w:color w:val="auto"/>
                <w:sz w:val="20"/>
                <w:szCs w:val="20"/>
              </w:rPr>
              <w:t>ata availability might be an issue in some developing countries.</w:t>
            </w:r>
          </w:p>
          <w:p w:rsidR="0096449C" w:rsidRPr="0050103A" w:rsidRDefault="0096449C" w:rsidP="0096449C">
            <w:pPr>
              <w:pStyle w:val="Default"/>
              <w:spacing w:before="120" w:after="120"/>
              <w:rPr>
                <w:rFonts w:asciiTheme="minorHAnsi" w:hAnsiTheme="minorHAnsi" w:cstheme="minorBidi"/>
                <w:color w:val="auto"/>
                <w:sz w:val="20"/>
                <w:szCs w:val="20"/>
              </w:rPr>
            </w:pPr>
          </w:p>
        </w:tc>
        <w:tc>
          <w:tcPr>
            <w:tcW w:w="2976" w:type="dxa"/>
          </w:tcPr>
          <w:p w:rsidR="0096449C" w:rsidRPr="0050103A" w:rsidRDefault="0096449C" w:rsidP="0096449C">
            <w:pPr>
              <w:pStyle w:val="Default"/>
              <w:spacing w:before="120" w:after="120"/>
              <w:rPr>
                <w:rFonts w:asciiTheme="minorHAnsi" w:hAnsiTheme="minorHAnsi" w:cstheme="minorBidi"/>
                <w:color w:val="auto"/>
                <w:sz w:val="20"/>
                <w:szCs w:val="20"/>
              </w:rPr>
            </w:pPr>
            <w:r>
              <w:rPr>
                <w:rFonts w:asciiTheme="minorHAnsi" w:hAnsiTheme="minorHAnsi" w:cstheme="minorBidi"/>
                <w:color w:val="auto"/>
                <w:sz w:val="20"/>
                <w:szCs w:val="20"/>
              </w:rPr>
              <w:t xml:space="preserve">1. </w:t>
            </w:r>
            <w:r w:rsidRPr="0050103A">
              <w:rPr>
                <w:rFonts w:asciiTheme="minorHAnsi" w:hAnsiTheme="minorHAnsi" w:cstheme="minorBidi"/>
                <w:color w:val="auto"/>
                <w:sz w:val="20"/>
                <w:szCs w:val="20"/>
              </w:rPr>
              <w:t xml:space="preserve">Data </w:t>
            </w:r>
            <w:r>
              <w:rPr>
                <w:rFonts w:asciiTheme="minorHAnsi" w:hAnsiTheme="minorHAnsi" w:cstheme="minorBidi"/>
                <w:color w:val="auto"/>
                <w:sz w:val="20"/>
                <w:szCs w:val="20"/>
              </w:rPr>
              <w:t>was</w:t>
            </w:r>
            <w:r w:rsidRPr="0050103A">
              <w:rPr>
                <w:rFonts w:asciiTheme="minorHAnsi" w:hAnsiTheme="minorHAnsi" w:cstheme="minorBidi"/>
                <w:color w:val="auto"/>
                <w:sz w:val="20"/>
                <w:szCs w:val="20"/>
              </w:rPr>
              <w:t xml:space="preserve"> not available </w:t>
            </w:r>
            <w:r>
              <w:rPr>
                <w:rFonts w:asciiTheme="minorHAnsi" w:hAnsiTheme="minorHAnsi" w:cstheme="minorBidi"/>
                <w:color w:val="auto"/>
                <w:sz w:val="20"/>
                <w:szCs w:val="20"/>
              </w:rPr>
              <w:t>in the pilot</w:t>
            </w:r>
            <w:r w:rsidRPr="0050103A">
              <w:rPr>
                <w:rFonts w:asciiTheme="minorHAnsi" w:hAnsiTheme="minorHAnsi" w:cstheme="minorBidi"/>
                <w:color w:val="auto"/>
                <w:sz w:val="20"/>
                <w:szCs w:val="20"/>
              </w:rPr>
              <w:t xml:space="preserve"> countries</w:t>
            </w:r>
            <w:r>
              <w:rPr>
                <w:rFonts w:asciiTheme="minorHAnsi" w:hAnsiTheme="minorHAnsi" w:cstheme="minorBidi"/>
                <w:color w:val="auto"/>
                <w:sz w:val="20"/>
                <w:szCs w:val="20"/>
              </w:rPr>
              <w:t xml:space="preserve">, due mainly to the fact that </w:t>
            </w:r>
            <w:proofErr w:type="spellStart"/>
            <w:r w:rsidRPr="0050103A">
              <w:rPr>
                <w:rFonts w:asciiTheme="minorHAnsi" w:hAnsiTheme="minorHAnsi" w:cstheme="minorBidi"/>
                <w:color w:val="auto"/>
                <w:sz w:val="20"/>
                <w:szCs w:val="20"/>
              </w:rPr>
              <w:t>woodfuel</w:t>
            </w:r>
            <w:proofErr w:type="spellEnd"/>
            <w:r w:rsidRPr="0050103A">
              <w:rPr>
                <w:rFonts w:asciiTheme="minorHAnsi" w:hAnsiTheme="minorHAnsi" w:cstheme="minorBidi"/>
                <w:color w:val="auto"/>
                <w:sz w:val="20"/>
                <w:szCs w:val="20"/>
              </w:rPr>
              <w:t xml:space="preserve"> is often collected/traded in the informal market; need for representative surveys (large sample over several months where seasonality exists)</w:t>
            </w:r>
            <w:r>
              <w:rPr>
                <w:rFonts w:asciiTheme="minorHAnsi" w:hAnsiTheme="minorHAnsi" w:cstheme="minorBidi"/>
                <w:color w:val="auto"/>
                <w:sz w:val="20"/>
                <w:szCs w:val="20"/>
              </w:rPr>
              <w:t>.</w:t>
            </w:r>
          </w:p>
        </w:tc>
        <w:tc>
          <w:tcPr>
            <w:tcW w:w="3119" w:type="dxa"/>
          </w:tcPr>
          <w:p w:rsidR="0096449C" w:rsidRPr="0050103A" w:rsidRDefault="0096449C" w:rsidP="0096449C">
            <w:pPr>
              <w:pStyle w:val="Default"/>
              <w:spacing w:before="120" w:after="120"/>
              <w:rPr>
                <w:rFonts w:asciiTheme="minorHAnsi" w:hAnsiTheme="minorHAnsi"/>
                <w:sz w:val="20"/>
                <w:szCs w:val="20"/>
              </w:rPr>
            </w:pPr>
          </w:p>
        </w:tc>
        <w:tc>
          <w:tcPr>
            <w:tcW w:w="1843" w:type="dxa"/>
          </w:tcPr>
          <w:p w:rsidR="0096449C" w:rsidRPr="0050103A" w:rsidRDefault="0096449C" w:rsidP="0096449C">
            <w:pPr>
              <w:pStyle w:val="Default"/>
              <w:spacing w:before="120" w:after="120"/>
              <w:rPr>
                <w:rFonts w:asciiTheme="minorHAnsi" w:hAnsiTheme="minorHAnsi"/>
                <w:sz w:val="20"/>
                <w:szCs w:val="20"/>
              </w:rPr>
            </w:pPr>
          </w:p>
        </w:tc>
        <w:tc>
          <w:tcPr>
            <w:tcW w:w="2494" w:type="dxa"/>
          </w:tcPr>
          <w:p w:rsidR="0096449C" w:rsidRPr="00D06157" w:rsidRDefault="0096449C" w:rsidP="0096449C">
            <w:pPr>
              <w:pStyle w:val="Default"/>
              <w:spacing w:before="120" w:after="120"/>
              <w:ind w:left="33"/>
              <w:rPr>
                <w:rFonts w:asciiTheme="minorHAnsi" w:hAnsiTheme="minorHAnsi"/>
                <w:sz w:val="20"/>
                <w:szCs w:val="20"/>
              </w:rPr>
            </w:pPr>
            <w:r>
              <w:rPr>
                <w:rFonts w:asciiTheme="minorHAnsi" w:hAnsiTheme="minorHAnsi"/>
                <w:sz w:val="20"/>
                <w:szCs w:val="20"/>
              </w:rPr>
              <w:t xml:space="preserve">1. In some countries, men (as opposed to women and children) are responsible for collecting biomass. Where this is the case, this should be reflected in the indicator measurement. </w:t>
            </w:r>
          </w:p>
          <w:p w:rsidR="0096449C" w:rsidRPr="00D06157" w:rsidRDefault="0096449C" w:rsidP="0096449C">
            <w:pPr>
              <w:pStyle w:val="Default"/>
              <w:spacing w:before="120" w:after="120"/>
              <w:ind w:left="33"/>
              <w:rPr>
                <w:rFonts w:asciiTheme="minorHAnsi" w:hAnsiTheme="minorHAnsi"/>
                <w:sz w:val="20"/>
                <w:szCs w:val="20"/>
              </w:rPr>
            </w:pPr>
            <w:r>
              <w:rPr>
                <w:rFonts w:asciiTheme="minorHAnsi" w:hAnsiTheme="minorHAnsi"/>
                <w:sz w:val="20"/>
                <w:szCs w:val="20"/>
              </w:rPr>
              <w:t xml:space="preserve">2. </w:t>
            </w:r>
            <w:r w:rsidRPr="00D06157">
              <w:rPr>
                <w:rFonts w:asciiTheme="minorHAnsi" w:hAnsiTheme="minorHAnsi"/>
                <w:sz w:val="20"/>
                <w:szCs w:val="20"/>
              </w:rPr>
              <w:t>Apparently UNDP is carrying out surveys in Africa on this matter</w:t>
            </w:r>
            <w:r>
              <w:rPr>
                <w:rFonts w:asciiTheme="minorHAnsi" w:hAnsiTheme="minorHAnsi"/>
                <w:sz w:val="20"/>
                <w:szCs w:val="20"/>
              </w:rPr>
              <w:t>. I</w:t>
            </w:r>
            <w:r w:rsidRPr="00D06157">
              <w:rPr>
                <w:rFonts w:asciiTheme="minorHAnsi" w:hAnsiTheme="minorHAnsi"/>
                <w:sz w:val="20"/>
                <w:szCs w:val="20"/>
              </w:rPr>
              <w:t xml:space="preserve">t is </w:t>
            </w:r>
            <w:r w:rsidRPr="00D06157">
              <w:rPr>
                <w:rFonts w:asciiTheme="minorHAnsi" w:hAnsiTheme="minorHAnsi"/>
                <w:sz w:val="20"/>
                <w:szCs w:val="20"/>
              </w:rPr>
              <w:lastRenderedPageBreak/>
              <w:t>advisable that GBEP liaises with UNDP in order to find out whether the survey could help measuring this indicator.</w:t>
            </w:r>
          </w:p>
        </w:tc>
      </w:tr>
      <w:tr w:rsidR="0096449C" w:rsidTr="0096449C">
        <w:tc>
          <w:tcPr>
            <w:tcW w:w="1961" w:type="dxa"/>
            <w:vAlign w:val="center"/>
          </w:tcPr>
          <w:p w:rsidR="0096449C" w:rsidRPr="003736FE" w:rsidRDefault="0096449C" w:rsidP="0096449C">
            <w:pPr>
              <w:pStyle w:val="Default"/>
              <w:spacing w:before="120" w:after="120"/>
              <w:rPr>
                <w:sz w:val="18"/>
                <w:szCs w:val="18"/>
              </w:rPr>
            </w:pPr>
            <w:r>
              <w:rPr>
                <w:b/>
                <w:bCs/>
                <w:sz w:val="18"/>
                <w:szCs w:val="18"/>
              </w:rPr>
              <w:lastRenderedPageBreak/>
              <w:t xml:space="preserve">14. Bioenergy used to expand access to modern energy services </w:t>
            </w:r>
          </w:p>
        </w:tc>
        <w:tc>
          <w:tcPr>
            <w:tcW w:w="3087" w:type="dxa"/>
          </w:tcPr>
          <w:p w:rsidR="0096449C" w:rsidRDefault="0096449C" w:rsidP="0096449C">
            <w:pPr>
              <w:spacing w:before="120" w:after="120"/>
              <w:rPr>
                <w:sz w:val="20"/>
                <w:szCs w:val="20"/>
              </w:rPr>
            </w:pPr>
            <w:r>
              <w:rPr>
                <w:sz w:val="20"/>
                <w:szCs w:val="20"/>
              </w:rPr>
              <w:t>1. Excluding the case of decentralized energy production from biomass sources, in all other cases attributing an increase in access to modern energy services to bioenergy poses challenges both in terms of data requirements and methodology.</w:t>
            </w:r>
          </w:p>
          <w:p w:rsidR="0096449C" w:rsidRPr="0050103A" w:rsidRDefault="0096449C" w:rsidP="0096449C">
            <w:pPr>
              <w:spacing w:before="120" w:after="120"/>
              <w:rPr>
                <w:sz w:val="20"/>
                <w:szCs w:val="20"/>
              </w:rPr>
            </w:pPr>
            <w:r>
              <w:rPr>
                <w:sz w:val="20"/>
                <w:szCs w:val="20"/>
              </w:rPr>
              <w:t>2. The issue of a more clear definition and demarcation of traditional vs. modern bioenergy is particularly important in the case of this indicator.</w:t>
            </w:r>
          </w:p>
        </w:tc>
        <w:tc>
          <w:tcPr>
            <w:tcW w:w="2976" w:type="dxa"/>
          </w:tcPr>
          <w:p w:rsidR="0096449C" w:rsidRPr="0050103A" w:rsidRDefault="0096449C" w:rsidP="0096449C">
            <w:pPr>
              <w:spacing w:before="120" w:after="120"/>
              <w:rPr>
                <w:sz w:val="20"/>
                <w:szCs w:val="20"/>
              </w:rPr>
            </w:pPr>
          </w:p>
        </w:tc>
        <w:tc>
          <w:tcPr>
            <w:tcW w:w="3119" w:type="dxa"/>
          </w:tcPr>
          <w:p w:rsidR="0096449C" w:rsidRPr="0050103A" w:rsidRDefault="0096449C" w:rsidP="0096449C">
            <w:pPr>
              <w:spacing w:before="120" w:after="120"/>
              <w:rPr>
                <w:sz w:val="20"/>
                <w:szCs w:val="20"/>
              </w:rPr>
            </w:pPr>
            <w:r>
              <w:rPr>
                <w:sz w:val="20"/>
                <w:szCs w:val="20"/>
              </w:rPr>
              <w:t>1. Relevant.</w:t>
            </w:r>
          </w:p>
        </w:tc>
        <w:tc>
          <w:tcPr>
            <w:tcW w:w="1843" w:type="dxa"/>
          </w:tcPr>
          <w:p w:rsidR="0096449C" w:rsidRPr="0050103A" w:rsidRDefault="0096449C" w:rsidP="0096449C">
            <w:pPr>
              <w:spacing w:before="120" w:after="120"/>
              <w:rPr>
                <w:sz w:val="20"/>
                <w:szCs w:val="20"/>
              </w:rPr>
            </w:pPr>
          </w:p>
        </w:tc>
        <w:tc>
          <w:tcPr>
            <w:tcW w:w="2494" w:type="dxa"/>
          </w:tcPr>
          <w:p w:rsidR="0096449C" w:rsidRPr="00A82452" w:rsidRDefault="0096449C" w:rsidP="0096449C">
            <w:pPr>
              <w:spacing w:before="120" w:after="120"/>
              <w:rPr>
                <w:sz w:val="20"/>
                <w:szCs w:val="20"/>
              </w:rPr>
            </w:pPr>
            <w:r>
              <w:rPr>
                <w:sz w:val="20"/>
                <w:szCs w:val="20"/>
              </w:rPr>
              <w:t>1. In the few countries where this indicator has been implemented so far, the focus is on other types of bioenergy technologies. Therefore, additional evidence is needed from other countries on the relevance and practicality of the indicator.</w:t>
            </w:r>
            <w:r w:rsidRPr="00A82452">
              <w:rPr>
                <w:sz w:val="20"/>
                <w:szCs w:val="20"/>
              </w:rPr>
              <w:t xml:space="preserve"> </w:t>
            </w:r>
          </w:p>
        </w:tc>
      </w:tr>
      <w:tr w:rsidR="0096449C" w:rsidTr="0096449C">
        <w:tc>
          <w:tcPr>
            <w:tcW w:w="1961" w:type="dxa"/>
            <w:vAlign w:val="center"/>
          </w:tcPr>
          <w:p w:rsidR="0096449C" w:rsidRPr="003736FE" w:rsidRDefault="0096449C" w:rsidP="0096449C">
            <w:pPr>
              <w:pStyle w:val="Default"/>
              <w:spacing w:before="120" w:after="120"/>
              <w:rPr>
                <w:sz w:val="18"/>
                <w:szCs w:val="18"/>
              </w:rPr>
            </w:pPr>
            <w:r>
              <w:rPr>
                <w:b/>
                <w:bCs/>
                <w:sz w:val="18"/>
                <w:szCs w:val="18"/>
              </w:rPr>
              <w:t xml:space="preserve">15. Change in mortality and burden of disease attributable to indoor smoke </w:t>
            </w:r>
          </w:p>
        </w:tc>
        <w:tc>
          <w:tcPr>
            <w:tcW w:w="3087" w:type="dxa"/>
          </w:tcPr>
          <w:p w:rsidR="0096449C" w:rsidRPr="0050103A" w:rsidRDefault="0096449C" w:rsidP="0096449C">
            <w:pPr>
              <w:spacing w:before="120" w:after="120"/>
              <w:rPr>
                <w:sz w:val="20"/>
                <w:szCs w:val="20"/>
              </w:rPr>
            </w:pPr>
            <w:r>
              <w:rPr>
                <w:sz w:val="20"/>
                <w:szCs w:val="20"/>
              </w:rPr>
              <w:t>1. The l</w:t>
            </w:r>
            <w:r w:rsidRPr="0050103A">
              <w:rPr>
                <w:sz w:val="20"/>
                <w:szCs w:val="20"/>
              </w:rPr>
              <w:t xml:space="preserve">imited statistics available are </w:t>
            </w:r>
            <w:r>
              <w:rPr>
                <w:sz w:val="20"/>
                <w:szCs w:val="20"/>
              </w:rPr>
              <w:t xml:space="preserve">the result of the </w:t>
            </w:r>
            <w:r w:rsidRPr="0050103A">
              <w:rPr>
                <w:sz w:val="20"/>
                <w:szCs w:val="20"/>
              </w:rPr>
              <w:t>aggregat</w:t>
            </w:r>
            <w:r>
              <w:rPr>
                <w:sz w:val="20"/>
                <w:szCs w:val="20"/>
              </w:rPr>
              <w:t>ion</w:t>
            </w:r>
            <w:r w:rsidRPr="0050103A">
              <w:rPr>
                <w:sz w:val="20"/>
                <w:szCs w:val="20"/>
              </w:rPr>
              <w:t xml:space="preserve"> of DALYs lost due to upper respiratory disease, thus including </w:t>
            </w:r>
            <w:r>
              <w:rPr>
                <w:sz w:val="20"/>
                <w:szCs w:val="20"/>
              </w:rPr>
              <w:t xml:space="preserve">multiple </w:t>
            </w:r>
            <w:r w:rsidRPr="0050103A">
              <w:rPr>
                <w:sz w:val="20"/>
                <w:szCs w:val="20"/>
              </w:rPr>
              <w:t xml:space="preserve">possible </w:t>
            </w:r>
            <w:r>
              <w:rPr>
                <w:sz w:val="20"/>
                <w:szCs w:val="20"/>
              </w:rPr>
              <w:t>causes</w:t>
            </w:r>
            <w:r w:rsidRPr="0050103A">
              <w:rPr>
                <w:sz w:val="20"/>
                <w:szCs w:val="20"/>
              </w:rPr>
              <w:t xml:space="preserve"> such as cigarette smoke, etc.</w:t>
            </w:r>
          </w:p>
          <w:p w:rsidR="0096449C" w:rsidRPr="0050103A" w:rsidRDefault="0096449C" w:rsidP="0096449C">
            <w:pPr>
              <w:spacing w:before="120" w:after="120"/>
              <w:rPr>
                <w:sz w:val="20"/>
                <w:szCs w:val="20"/>
              </w:rPr>
            </w:pPr>
            <w:r>
              <w:rPr>
                <w:sz w:val="20"/>
                <w:szCs w:val="20"/>
              </w:rPr>
              <w:t xml:space="preserve">2. </w:t>
            </w:r>
            <w:r w:rsidRPr="0050103A">
              <w:rPr>
                <w:sz w:val="20"/>
                <w:szCs w:val="20"/>
              </w:rPr>
              <w:t xml:space="preserve">In order to </w:t>
            </w:r>
            <w:r>
              <w:rPr>
                <w:sz w:val="20"/>
                <w:szCs w:val="20"/>
              </w:rPr>
              <w:t>measure</w:t>
            </w:r>
            <w:r w:rsidRPr="0050103A">
              <w:rPr>
                <w:sz w:val="20"/>
                <w:szCs w:val="20"/>
              </w:rPr>
              <w:t xml:space="preserve"> a change, </w:t>
            </w:r>
            <w:r w:rsidRPr="006C49F7">
              <w:rPr>
                <w:iCs/>
                <w:sz w:val="20"/>
                <w:szCs w:val="20"/>
              </w:rPr>
              <w:t>reliable</w:t>
            </w:r>
            <w:r w:rsidRPr="0050103A">
              <w:rPr>
                <w:sz w:val="20"/>
                <w:szCs w:val="20"/>
              </w:rPr>
              <w:t xml:space="preserve"> statistics</w:t>
            </w:r>
            <w:r>
              <w:rPr>
                <w:sz w:val="20"/>
                <w:szCs w:val="20"/>
              </w:rPr>
              <w:t xml:space="preserve"> based on sound epidemiological studies</w:t>
            </w:r>
            <w:r w:rsidRPr="0050103A">
              <w:rPr>
                <w:sz w:val="20"/>
                <w:szCs w:val="20"/>
              </w:rPr>
              <w:t xml:space="preserve"> </w:t>
            </w:r>
            <w:r>
              <w:rPr>
                <w:sz w:val="20"/>
                <w:szCs w:val="20"/>
              </w:rPr>
              <w:t xml:space="preserve">and covering an adequate </w:t>
            </w:r>
            <w:r w:rsidRPr="0050103A">
              <w:rPr>
                <w:sz w:val="20"/>
                <w:szCs w:val="20"/>
              </w:rPr>
              <w:t>period of time</w:t>
            </w:r>
            <w:r>
              <w:rPr>
                <w:sz w:val="20"/>
                <w:szCs w:val="20"/>
              </w:rPr>
              <w:t xml:space="preserve"> are needed</w:t>
            </w:r>
            <w:r w:rsidRPr="0050103A">
              <w:rPr>
                <w:sz w:val="20"/>
                <w:szCs w:val="20"/>
              </w:rPr>
              <w:t>.</w:t>
            </w:r>
          </w:p>
        </w:tc>
        <w:tc>
          <w:tcPr>
            <w:tcW w:w="2976" w:type="dxa"/>
          </w:tcPr>
          <w:p w:rsidR="0096449C" w:rsidRPr="00A82452" w:rsidRDefault="0096449C" w:rsidP="0096449C">
            <w:pPr>
              <w:spacing w:before="120" w:after="120"/>
              <w:rPr>
                <w:sz w:val="20"/>
                <w:szCs w:val="20"/>
              </w:rPr>
            </w:pPr>
            <w:r>
              <w:rPr>
                <w:sz w:val="20"/>
                <w:szCs w:val="20"/>
              </w:rPr>
              <w:t xml:space="preserve">1. </w:t>
            </w:r>
            <w:r w:rsidRPr="00A82452">
              <w:rPr>
                <w:sz w:val="20"/>
                <w:szCs w:val="20"/>
              </w:rPr>
              <w:t>Limited data available</w:t>
            </w:r>
            <w:r>
              <w:rPr>
                <w:sz w:val="20"/>
                <w:szCs w:val="20"/>
              </w:rPr>
              <w:t>.</w:t>
            </w:r>
          </w:p>
        </w:tc>
        <w:tc>
          <w:tcPr>
            <w:tcW w:w="3119" w:type="dxa"/>
          </w:tcPr>
          <w:p w:rsidR="0096449C" w:rsidRPr="00D06157" w:rsidRDefault="0096449C" w:rsidP="0096449C">
            <w:pPr>
              <w:pStyle w:val="ListParagraph"/>
              <w:spacing w:before="120" w:after="120" w:line="240" w:lineRule="auto"/>
              <w:ind w:left="34"/>
              <w:rPr>
                <w:sz w:val="20"/>
                <w:szCs w:val="20"/>
              </w:rPr>
            </w:pPr>
          </w:p>
        </w:tc>
        <w:tc>
          <w:tcPr>
            <w:tcW w:w="1843" w:type="dxa"/>
          </w:tcPr>
          <w:p w:rsidR="0096449C" w:rsidRPr="0050103A" w:rsidRDefault="0096449C" w:rsidP="0096449C">
            <w:pPr>
              <w:spacing w:before="120" w:after="120"/>
              <w:rPr>
                <w:sz w:val="20"/>
                <w:szCs w:val="20"/>
              </w:rPr>
            </w:pPr>
          </w:p>
        </w:tc>
        <w:tc>
          <w:tcPr>
            <w:tcW w:w="2494" w:type="dxa"/>
          </w:tcPr>
          <w:p w:rsidR="0096449C" w:rsidRPr="00D06157" w:rsidRDefault="0096449C" w:rsidP="0096449C">
            <w:pPr>
              <w:spacing w:before="120" w:after="120"/>
              <w:ind w:left="33"/>
              <w:rPr>
                <w:sz w:val="20"/>
                <w:szCs w:val="20"/>
              </w:rPr>
            </w:pPr>
            <w:r>
              <w:rPr>
                <w:sz w:val="20"/>
                <w:szCs w:val="20"/>
              </w:rPr>
              <w:t>1. S</w:t>
            </w:r>
            <w:r w:rsidRPr="00D06157">
              <w:rPr>
                <w:sz w:val="20"/>
                <w:szCs w:val="20"/>
              </w:rPr>
              <w:t>tatistics or surveys that cover a time window sufficient to de</w:t>
            </w:r>
            <w:r>
              <w:rPr>
                <w:sz w:val="20"/>
                <w:szCs w:val="20"/>
              </w:rPr>
              <w:t xml:space="preserve">scribe the development of </w:t>
            </w:r>
            <w:r w:rsidRPr="00D06157">
              <w:rPr>
                <w:sz w:val="20"/>
                <w:szCs w:val="20"/>
              </w:rPr>
              <w:t xml:space="preserve">chronic diseases </w:t>
            </w:r>
            <w:r>
              <w:rPr>
                <w:sz w:val="20"/>
                <w:szCs w:val="20"/>
              </w:rPr>
              <w:t xml:space="preserve">caused by indoor pollution </w:t>
            </w:r>
            <w:r w:rsidRPr="00D06157">
              <w:rPr>
                <w:sz w:val="20"/>
                <w:szCs w:val="20"/>
              </w:rPr>
              <w:t xml:space="preserve">from cooking (thus targeting the family members more exposed) may lead to the identification of the </w:t>
            </w:r>
            <w:r>
              <w:rPr>
                <w:sz w:val="20"/>
                <w:szCs w:val="20"/>
              </w:rPr>
              <w:t>role</w:t>
            </w:r>
            <w:r w:rsidRPr="00D06157">
              <w:rPr>
                <w:sz w:val="20"/>
                <w:szCs w:val="20"/>
              </w:rPr>
              <w:t xml:space="preserve"> of traditional bioenergy use.</w:t>
            </w:r>
          </w:p>
        </w:tc>
      </w:tr>
      <w:tr w:rsidR="0096449C" w:rsidTr="0096449C">
        <w:tc>
          <w:tcPr>
            <w:tcW w:w="1961" w:type="dxa"/>
            <w:vAlign w:val="center"/>
          </w:tcPr>
          <w:p w:rsidR="0096449C" w:rsidRPr="003736FE" w:rsidRDefault="0096449C" w:rsidP="0096449C">
            <w:pPr>
              <w:pStyle w:val="Default"/>
              <w:spacing w:before="120" w:after="120"/>
              <w:rPr>
                <w:sz w:val="18"/>
                <w:szCs w:val="18"/>
              </w:rPr>
            </w:pPr>
            <w:r>
              <w:rPr>
                <w:b/>
                <w:bCs/>
                <w:sz w:val="18"/>
                <w:szCs w:val="18"/>
              </w:rPr>
              <w:t xml:space="preserve">16. Incidence of occupational injury, illness and fatalities </w:t>
            </w:r>
          </w:p>
        </w:tc>
        <w:tc>
          <w:tcPr>
            <w:tcW w:w="3087" w:type="dxa"/>
          </w:tcPr>
          <w:p w:rsidR="0096449C" w:rsidRDefault="0096449C" w:rsidP="0096449C">
            <w:pPr>
              <w:spacing w:before="120" w:after="120"/>
              <w:rPr>
                <w:sz w:val="20"/>
                <w:szCs w:val="20"/>
              </w:rPr>
            </w:pPr>
            <w:r>
              <w:rPr>
                <w:sz w:val="20"/>
                <w:szCs w:val="20"/>
              </w:rPr>
              <w:t xml:space="preserve">1. </w:t>
            </w:r>
            <w:r w:rsidRPr="0050103A">
              <w:rPr>
                <w:sz w:val="20"/>
                <w:szCs w:val="20"/>
              </w:rPr>
              <w:t xml:space="preserve">Data owned </w:t>
            </w:r>
            <w:r>
              <w:rPr>
                <w:sz w:val="20"/>
                <w:szCs w:val="20"/>
              </w:rPr>
              <w:t xml:space="preserve">mainly </w:t>
            </w:r>
            <w:r w:rsidRPr="0050103A">
              <w:rPr>
                <w:sz w:val="20"/>
                <w:szCs w:val="20"/>
              </w:rPr>
              <w:t xml:space="preserve">by the private sector, having no incentive for reporting/sharing </w:t>
            </w:r>
            <w:r>
              <w:rPr>
                <w:sz w:val="20"/>
                <w:szCs w:val="20"/>
              </w:rPr>
              <w:t xml:space="preserve">such </w:t>
            </w:r>
            <w:r w:rsidRPr="0050103A">
              <w:rPr>
                <w:sz w:val="20"/>
                <w:szCs w:val="20"/>
              </w:rPr>
              <w:t>data.</w:t>
            </w:r>
          </w:p>
          <w:p w:rsidR="0096449C" w:rsidRPr="0050103A" w:rsidRDefault="0096449C" w:rsidP="0096449C">
            <w:pPr>
              <w:spacing w:before="120" w:after="120"/>
              <w:rPr>
                <w:sz w:val="20"/>
                <w:szCs w:val="20"/>
              </w:rPr>
            </w:pPr>
          </w:p>
          <w:p w:rsidR="0096449C" w:rsidRPr="0050103A" w:rsidRDefault="0096449C" w:rsidP="0096449C">
            <w:pPr>
              <w:spacing w:before="120" w:after="120"/>
              <w:rPr>
                <w:sz w:val="20"/>
                <w:szCs w:val="20"/>
              </w:rPr>
            </w:pPr>
          </w:p>
          <w:p w:rsidR="0096449C" w:rsidRPr="0050103A" w:rsidRDefault="0096449C" w:rsidP="0096449C">
            <w:pPr>
              <w:spacing w:before="120" w:after="120"/>
              <w:rPr>
                <w:sz w:val="20"/>
                <w:szCs w:val="20"/>
              </w:rPr>
            </w:pPr>
          </w:p>
        </w:tc>
        <w:tc>
          <w:tcPr>
            <w:tcW w:w="2976" w:type="dxa"/>
          </w:tcPr>
          <w:p w:rsidR="0096449C" w:rsidRPr="005C15DE" w:rsidRDefault="0096449C" w:rsidP="0096449C">
            <w:pPr>
              <w:spacing w:before="120" w:after="120"/>
              <w:rPr>
                <w:sz w:val="20"/>
                <w:szCs w:val="20"/>
              </w:rPr>
            </w:pPr>
            <w:r>
              <w:rPr>
                <w:sz w:val="20"/>
                <w:szCs w:val="20"/>
              </w:rPr>
              <w:t xml:space="preserve">1. </w:t>
            </w:r>
            <w:r w:rsidRPr="005C15DE">
              <w:rPr>
                <w:sz w:val="20"/>
                <w:szCs w:val="20"/>
              </w:rPr>
              <w:t>Lack of availability of adequate data with the level of disaggregation required in order to conduct a specific analysis for the bioenergy sector.</w:t>
            </w:r>
          </w:p>
          <w:p w:rsidR="0096449C" w:rsidRPr="006C49F7" w:rsidRDefault="0096449C" w:rsidP="0096449C">
            <w:pPr>
              <w:pStyle w:val="ListParagraph"/>
              <w:spacing w:before="120" w:after="120" w:line="240" w:lineRule="auto"/>
              <w:ind w:left="33"/>
              <w:rPr>
                <w:sz w:val="8"/>
                <w:szCs w:val="8"/>
              </w:rPr>
            </w:pPr>
          </w:p>
          <w:p w:rsidR="0096449C" w:rsidRPr="00D06157" w:rsidRDefault="0096449C" w:rsidP="0096449C">
            <w:pPr>
              <w:pStyle w:val="ListParagraph"/>
              <w:spacing w:before="120" w:after="120" w:line="240" w:lineRule="auto"/>
              <w:ind w:left="33"/>
              <w:rPr>
                <w:sz w:val="20"/>
                <w:szCs w:val="20"/>
              </w:rPr>
            </w:pPr>
            <w:r>
              <w:rPr>
                <w:sz w:val="20"/>
                <w:szCs w:val="20"/>
              </w:rPr>
              <w:t xml:space="preserve">2. In general, agro-industries have data on occupational injury, illness and fatalities (e.g. in </w:t>
            </w:r>
            <w:r>
              <w:rPr>
                <w:sz w:val="20"/>
                <w:szCs w:val="20"/>
              </w:rPr>
              <w:lastRenderedPageBreak/>
              <w:t>Brazil). Insurance companies have these data as well, but only for insured workers, which generally represent a relatively small share of total workers, especially in the agricultural sector of developing countries. The data owned by agro-industries and insurance companies, however, may not be publicly available.</w:t>
            </w:r>
          </w:p>
        </w:tc>
        <w:tc>
          <w:tcPr>
            <w:tcW w:w="3119" w:type="dxa"/>
          </w:tcPr>
          <w:p w:rsidR="0096449C" w:rsidRPr="00D06157" w:rsidRDefault="0096449C" w:rsidP="0096449C">
            <w:pPr>
              <w:pStyle w:val="ListParagraph"/>
              <w:spacing w:before="120" w:after="120" w:line="240" w:lineRule="auto"/>
              <w:ind w:left="34"/>
              <w:rPr>
                <w:sz w:val="20"/>
                <w:szCs w:val="20"/>
              </w:rPr>
            </w:pPr>
            <w:r>
              <w:rPr>
                <w:sz w:val="20"/>
                <w:szCs w:val="20"/>
              </w:rPr>
              <w:lastRenderedPageBreak/>
              <w:t>1. It is f</w:t>
            </w:r>
            <w:r w:rsidRPr="00D06157">
              <w:rPr>
                <w:sz w:val="20"/>
                <w:szCs w:val="20"/>
              </w:rPr>
              <w:t xml:space="preserve">undamental, as in the case of any other indicator </w:t>
            </w:r>
            <w:r>
              <w:rPr>
                <w:sz w:val="20"/>
                <w:szCs w:val="20"/>
              </w:rPr>
              <w:t xml:space="preserve">on </w:t>
            </w:r>
            <w:r w:rsidRPr="00D06157">
              <w:rPr>
                <w:sz w:val="20"/>
                <w:szCs w:val="20"/>
              </w:rPr>
              <w:t xml:space="preserve">which information is held primarily by the private sector, to partner </w:t>
            </w:r>
            <w:r>
              <w:rPr>
                <w:sz w:val="20"/>
                <w:szCs w:val="20"/>
              </w:rPr>
              <w:t>with relevant organizations and strengthen</w:t>
            </w:r>
            <w:r w:rsidRPr="00D06157">
              <w:rPr>
                <w:sz w:val="20"/>
                <w:szCs w:val="20"/>
              </w:rPr>
              <w:t xml:space="preserve"> the capacity to produce </w:t>
            </w:r>
            <w:r>
              <w:rPr>
                <w:sz w:val="20"/>
                <w:szCs w:val="20"/>
              </w:rPr>
              <w:t xml:space="preserve">relevant </w:t>
            </w:r>
            <w:r w:rsidRPr="00D06157">
              <w:rPr>
                <w:sz w:val="20"/>
                <w:szCs w:val="20"/>
              </w:rPr>
              <w:t>statistics</w:t>
            </w:r>
            <w:r>
              <w:rPr>
                <w:sz w:val="20"/>
                <w:szCs w:val="20"/>
              </w:rPr>
              <w:t xml:space="preserve"> in order to monitor this indicator</w:t>
            </w:r>
            <w:r w:rsidRPr="00D06157">
              <w:rPr>
                <w:sz w:val="20"/>
                <w:szCs w:val="20"/>
              </w:rPr>
              <w:t xml:space="preserve">. It is also important to develop the capacity </w:t>
            </w:r>
            <w:r w:rsidRPr="00D06157">
              <w:rPr>
                <w:sz w:val="20"/>
                <w:szCs w:val="20"/>
              </w:rPr>
              <w:lastRenderedPageBreak/>
              <w:t>of national policymakers</w:t>
            </w:r>
            <w:r>
              <w:rPr>
                <w:sz w:val="20"/>
                <w:szCs w:val="20"/>
              </w:rPr>
              <w:t xml:space="preserve"> to design policies </w:t>
            </w:r>
            <w:r w:rsidRPr="00D06157">
              <w:rPr>
                <w:sz w:val="20"/>
                <w:szCs w:val="20"/>
              </w:rPr>
              <w:t xml:space="preserve">that discourage informal jobs in bioenergy </w:t>
            </w:r>
            <w:r>
              <w:rPr>
                <w:sz w:val="20"/>
                <w:szCs w:val="20"/>
              </w:rPr>
              <w:t xml:space="preserve">and require </w:t>
            </w:r>
            <w:r w:rsidRPr="00D06157">
              <w:rPr>
                <w:sz w:val="20"/>
                <w:szCs w:val="20"/>
              </w:rPr>
              <w:t>mandatory insurance regimes</w:t>
            </w:r>
            <w:r>
              <w:rPr>
                <w:sz w:val="20"/>
                <w:szCs w:val="20"/>
              </w:rPr>
              <w:t>.</w:t>
            </w:r>
          </w:p>
        </w:tc>
        <w:tc>
          <w:tcPr>
            <w:tcW w:w="1843" w:type="dxa"/>
          </w:tcPr>
          <w:p w:rsidR="0096449C" w:rsidRPr="0050103A" w:rsidRDefault="0096449C" w:rsidP="0096449C">
            <w:pPr>
              <w:spacing w:before="120" w:after="120"/>
              <w:rPr>
                <w:sz w:val="20"/>
                <w:szCs w:val="20"/>
              </w:rPr>
            </w:pPr>
          </w:p>
        </w:tc>
        <w:tc>
          <w:tcPr>
            <w:tcW w:w="2494" w:type="dxa"/>
          </w:tcPr>
          <w:p w:rsidR="0096449C" w:rsidRPr="00A82452" w:rsidRDefault="0096449C" w:rsidP="0096449C">
            <w:pPr>
              <w:spacing w:before="120" w:after="120"/>
              <w:rPr>
                <w:sz w:val="20"/>
                <w:szCs w:val="20"/>
              </w:rPr>
            </w:pPr>
            <w:r>
              <w:rPr>
                <w:sz w:val="20"/>
                <w:szCs w:val="20"/>
              </w:rPr>
              <w:t xml:space="preserve">1. </w:t>
            </w:r>
            <w:r w:rsidRPr="00A82452">
              <w:rPr>
                <w:sz w:val="20"/>
                <w:szCs w:val="20"/>
              </w:rPr>
              <w:t xml:space="preserve">In addition to baseline conditions, if possible conditions under a </w:t>
            </w:r>
            <w:proofErr w:type="spellStart"/>
            <w:r w:rsidRPr="00A82452">
              <w:rPr>
                <w:sz w:val="20"/>
                <w:szCs w:val="20"/>
              </w:rPr>
              <w:t>bioeconomy</w:t>
            </w:r>
            <w:proofErr w:type="spellEnd"/>
            <w:r w:rsidRPr="00A82452">
              <w:rPr>
                <w:sz w:val="20"/>
                <w:szCs w:val="20"/>
              </w:rPr>
              <w:t xml:space="preserve"> should be assessed as well.</w:t>
            </w:r>
          </w:p>
          <w:p w:rsidR="0096449C" w:rsidRPr="00984DDF" w:rsidRDefault="0096449C" w:rsidP="0096449C">
            <w:pPr>
              <w:spacing w:before="120" w:after="120"/>
              <w:rPr>
                <w:sz w:val="20"/>
                <w:szCs w:val="20"/>
              </w:rPr>
            </w:pPr>
          </w:p>
        </w:tc>
      </w:tr>
    </w:tbl>
    <w:p w:rsidR="0096449C" w:rsidRDefault="0096449C" w:rsidP="0096449C">
      <w:pPr>
        <w:spacing w:after="120"/>
      </w:pPr>
    </w:p>
    <w:p w:rsidR="0096449C" w:rsidRDefault="0096449C" w:rsidP="0096449C">
      <w:pPr>
        <w:spacing w:after="120"/>
      </w:pPr>
    </w:p>
    <w:p w:rsidR="0096449C" w:rsidRDefault="0096449C" w:rsidP="0096449C">
      <w:pPr>
        <w:spacing w:after="120"/>
      </w:pPr>
    </w:p>
    <w:p w:rsidR="0096449C" w:rsidRDefault="0096449C" w:rsidP="0096449C">
      <w:r>
        <w:br w:type="page"/>
      </w:r>
    </w:p>
    <w:p w:rsidR="0096449C" w:rsidRDefault="0096449C" w:rsidP="0096449C">
      <w:pPr>
        <w:jc w:val="center"/>
        <w:rPr>
          <w:b/>
          <w:bCs/>
          <w:sz w:val="28"/>
          <w:szCs w:val="28"/>
        </w:rPr>
      </w:pPr>
      <w:r w:rsidRPr="00607961">
        <w:rPr>
          <w:b/>
          <w:bCs/>
          <w:sz w:val="26"/>
          <w:szCs w:val="26"/>
        </w:rPr>
        <w:lastRenderedPageBreak/>
        <w:t>ECONOMIC PILLAR</w:t>
      </w:r>
    </w:p>
    <w:p w:rsidR="0096449C" w:rsidRDefault="0096449C" w:rsidP="0096449C">
      <w:pPr>
        <w:spacing w:after="120"/>
      </w:pPr>
    </w:p>
    <w:tbl>
      <w:tblPr>
        <w:tblStyle w:val="TableGrid"/>
        <w:tblW w:w="15480" w:type="dxa"/>
        <w:tblInd w:w="-545" w:type="dxa"/>
        <w:tblLook w:val="04A0" w:firstRow="1" w:lastRow="0" w:firstColumn="1" w:lastColumn="0" w:noHBand="0" w:noVBand="1"/>
      </w:tblPr>
      <w:tblGrid>
        <w:gridCol w:w="1961"/>
        <w:gridCol w:w="3087"/>
        <w:gridCol w:w="2976"/>
        <w:gridCol w:w="3119"/>
        <w:gridCol w:w="1843"/>
        <w:gridCol w:w="2494"/>
      </w:tblGrid>
      <w:tr w:rsidR="0096449C" w:rsidTr="0096449C">
        <w:tc>
          <w:tcPr>
            <w:tcW w:w="1961" w:type="dxa"/>
          </w:tcPr>
          <w:p w:rsidR="0096449C" w:rsidRPr="00C17876" w:rsidRDefault="0096449C" w:rsidP="0096449C">
            <w:pPr>
              <w:pStyle w:val="Default"/>
              <w:rPr>
                <w:b/>
                <w:sz w:val="20"/>
                <w:szCs w:val="20"/>
              </w:rPr>
            </w:pPr>
            <w:r w:rsidRPr="00C17876">
              <w:rPr>
                <w:b/>
                <w:sz w:val="20"/>
                <w:szCs w:val="20"/>
              </w:rPr>
              <w:t>INDICATOR NAME</w:t>
            </w:r>
          </w:p>
        </w:tc>
        <w:tc>
          <w:tcPr>
            <w:tcW w:w="3087" w:type="dxa"/>
          </w:tcPr>
          <w:p w:rsidR="0096449C" w:rsidRPr="00C17876" w:rsidRDefault="0096449C" w:rsidP="0096449C">
            <w:pPr>
              <w:pStyle w:val="Default"/>
              <w:ind w:left="-9"/>
              <w:rPr>
                <w:b/>
                <w:sz w:val="20"/>
                <w:szCs w:val="20"/>
              </w:rPr>
            </w:pPr>
            <w:r>
              <w:rPr>
                <w:b/>
                <w:sz w:val="20"/>
                <w:szCs w:val="20"/>
              </w:rPr>
              <w:t>1</w:t>
            </w:r>
            <w:r w:rsidRPr="00C17876">
              <w:rPr>
                <w:b/>
                <w:sz w:val="20"/>
                <w:szCs w:val="20"/>
              </w:rPr>
              <w:t xml:space="preserve">) </w:t>
            </w:r>
            <w:r>
              <w:rPr>
                <w:b/>
                <w:sz w:val="20"/>
                <w:szCs w:val="20"/>
              </w:rPr>
              <w:t>Which are the major challenges when measuring this indicator</w:t>
            </w:r>
            <w:r w:rsidRPr="00C17876">
              <w:rPr>
                <w:b/>
                <w:sz w:val="20"/>
                <w:szCs w:val="20"/>
              </w:rPr>
              <w:t>?</w:t>
            </w:r>
            <w:r>
              <w:rPr>
                <w:b/>
                <w:sz w:val="20"/>
                <w:szCs w:val="20"/>
              </w:rPr>
              <w:t xml:space="preserve"> </w:t>
            </w:r>
          </w:p>
          <w:p w:rsidR="0096449C" w:rsidRPr="00C17876" w:rsidRDefault="0096449C" w:rsidP="0096449C">
            <w:pPr>
              <w:pStyle w:val="Default"/>
              <w:ind w:left="-29" w:right="-108"/>
              <w:rPr>
                <w:b/>
                <w:sz w:val="20"/>
                <w:szCs w:val="20"/>
              </w:rPr>
            </w:pPr>
          </w:p>
        </w:tc>
        <w:tc>
          <w:tcPr>
            <w:tcW w:w="2976" w:type="dxa"/>
          </w:tcPr>
          <w:p w:rsidR="0096449C" w:rsidRDefault="0096449C" w:rsidP="0096449C">
            <w:pPr>
              <w:pStyle w:val="Default"/>
              <w:ind w:left="-9"/>
              <w:rPr>
                <w:b/>
                <w:sz w:val="20"/>
                <w:szCs w:val="20"/>
              </w:rPr>
            </w:pPr>
            <w:r>
              <w:rPr>
                <w:b/>
                <w:sz w:val="20"/>
                <w:szCs w:val="20"/>
              </w:rPr>
              <w:t>2</w:t>
            </w:r>
            <w:r w:rsidRPr="00C17876">
              <w:rPr>
                <w:b/>
                <w:sz w:val="20"/>
                <w:szCs w:val="20"/>
              </w:rPr>
              <w:t xml:space="preserve">) </w:t>
            </w:r>
            <w:r>
              <w:rPr>
                <w:b/>
                <w:sz w:val="20"/>
                <w:szCs w:val="20"/>
              </w:rPr>
              <w:t>Data availability</w:t>
            </w:r>
            <w:r w:rsidRPr="00C17876">
              <w:rPr>
                <w:b/>
                <w:sz w:val="20"/>
                <w:szCs w:val="20"/>
              </w:rPr>
              <w:t>?</w:t>
            </w:r>
          </w:p>
          <w:p w:rsidR="0096449C" w:rsidRDefault="0096449C" w:rsidP="0096449C">
            <w:pPr>
              <w:pStyle w:val="Default"/>
              <w:ind w:left="-9"/>
              <w:rPr>
                <w:b/>
                <w:sz w:val="20"/>
                <w:szCs w:val="20"/>
              </w:rPr>
            </w:pPr>
            <w:r>
              <w:rPr>
                <w:b/>
                <w:sz w:val="20"/>
                <w:szCs w:val="20"/>
              </w:rPr>
              <w:t>Data appropriateness?</w:t>
            </w:r>
          </w:p>
          <w:p w:rsidR="0096449C" w:rsidRPr="00C17876" w:rsidRDefault="0096449C" w:rsidP="0096449C">
            <w:pPr>
              <w:pStyle w:val="Default"/>
              <w:ind w:left="-9"/>
              <w:rPr>
                <w:b/>
                <w:sz w:val="20"/>
                <w:szCs w:val="20"/>
              </w:rPr>
            </w:pPr>
          </w:p>
        </w:tc>
        <w:tc>
          <w:tcPr>
            <w:tcW w:w="3119" w:type="dxa"/>
          </w:tcPr>
          <w:p w:rsidR="0096449C" w:rsidRPr="00C17876" w:rsidRDefault="0096449C" w:rsidP="0096449C">
            <w:pPr>
              <w:pStyle w:val="Default"/>
              <w:ind w:left="-9"/>
              <w:rPr>
                <w:b/>
                <w:sz w:val="20"/>
                <w:szCs w:val="20"/>
              </w:rPr>
            </w:pPr>
            <w:r w:rsidRPr="00C17876">
              <w:rPr>
                <w:b/>
                <w:sz w:val="20"/>
                <w:szCs w:val="20"/>
              </w:rPr>
              <w:t xml:space="preserve">3) </w:t>
            </w:r>
            <w:r>
              <w:rPr>
                <w:b/>
                <w:sz w:val="20"/>
                <w:szCs w:val="20"/>
              </w:rPr>
              <w:t>How relevant is capacity building</w:t>
            </w:r>
            <w:r w:rsidRPr="00C17876">
              <w:rPr>
                <w:b/>
                <w:sz w:val="20"/>
                <w:szCs w:val="20"/>
              </w:rPr>
              <w:t>?</w:t>
            </w:r>
          </w:p>
        </w:tc>
        <w:tc>
          <w:tcPr>
            <w:tcW w:w="1843" w:type="dxa"/>
          </w:tcPr>
          <w:p w:rsidR="0096449C" w:rsidRPr="00C17876" w:rsidRDefault="0096449C" w:rsidP="0096449C">
            <w:pPr>
              <w:pStyle w:val="Default"/>
              <w:ind w:left="-9"/>
              <w:rPr>
                <w:b/>
                <w:sz w:val="20"/>
                <w:szCs w:val="20"/>
              </w:rPr>
            </w:pPr>
            <w:r>
              <w:rPr>
                <w:b/>
                <w:sz w:val="20"/>
                <w:szCs w:val="20"/>
              </w:rPr>
              <w:t>4) Any other fundamental obstacle?</w:t>
            </w:r>
          </w:p>
        </w:tc>
        <w:tc>
          <w:tcPr>
            <w:tcW w:w="2494" w:type="dxa"/>
          </w:tcPr>
          <w:p w:rsidR="0096449C" w:rsidRPr="00D06157" w:rsidRDefault="0096449C" w:rsidP="0096449C">
            <w:pPr>
              <w:pStyle w:val="Default"/>
              <w:ind w:left="-9"/>
              <w:rPr>
                <w:b/>
                <w:sz w:val="20"/>
                <w:szCs w:val="20"/>
              </w:rPr>
            </w:pPr>
            <w:r w:rsidRPr="00D06157">
              <w:rPr>
                <w:b/>
                <w:sz w:val="20"/>
                <w:szCs w:val="20"/>
              </w:rPr>
              <w:t>5) Comments.</w:t>
            </w:r>
          </w:p>
        </w:tc>
      </w:tr>
      <w:tr w:rsidR="0096449C" w:rsidTr="0096449C">
        <w:tc>
          <w:tcPr>
            <w:tcW w:w="1961" w:type="dxa"/>
            <w:vAlign w:val="center"/>
          </w:tcPr>
          <w:p w:rsidR="0096449C" w:rsidRPr="003736FE" w:rsidRDefault="0096449C" w:rsidP="0096449C">
            <w:pPr>
              <w:pStyle w:val="Default"/>
              <w:spacing w:before="120" w:after="120"/>
              <w:rPr>
                <w:sz w:val="18"/>
                <w:szCs w:val="18"/>
              </w:rPr>
            </w:pPr>
            <w:r>
              <w:rPr>
                <w:b/>
                <w:bCs/>
                <w:sz w:val="18"/>
                <w:szCs w:val="18"/>
              </w:rPr>
              <w:t xml:space="preserve">17. Productivity </w:t>
            </w:r>
          </w:p>
        </w:tc>
        <w:tc>
          <w:tcPr>
            <w:tcW w:w="3087" w:type="dxa"/>
          </w:tcPr>
          <w:p w:rsidR="0096449C" w:rsidRDefault="0096449C" w:rsidP="0096449C">
            <w:pPr>
              <w:spacing w:before="120" w:after="120"/>
              <w:rPr>
                <w:sz w:val="20"/>
                <w:szCs w:val="20"/>
              </w:rPr>
            </w:pPr>
            <w:r w:rsidRPr="00D06157">
              <w:rPr>
                <w:sz w:val="20"/>
                <w:szCs w:val="20"/>
              </w:rPr>
              <w:t>1</w:t>
            </w:r>
            <w:r>
              <w:rPr>
                <w:sz w:val="20"/>
                <w:szCs w:val="20"/>
              </w:rPr>
              <w:t>.</w:t>
            </w:r>
            <w:r w:rsidRPr="00D06157">
              <w:rPr>
                <w:sz w:val="20"/>
                <w:szCs w:val="20"/>
              </w:rPr>
              <w:t xml:space="preserve"> </w:t>
            </w:r>
            <w:r>
              <w:rPr>
                <w:sz w:val="20"/>
                <w:szCs w:val="20"/>
              </w:rPr>
              <w:t>In the countries where the GBEP indicators have been implemented so far, the measurement of this indicator has been relatively straightforward.</w:t>
            </w:r>
          </w:p>
          <w:p w:rsidR="0096449C" w:rsidRDefault="0096449C" w:rsidP="0096449C">
            <w:pPr>
              <w:spacing w:before="120" w:after="120"/>
              <w:rPr>
                <w:sz w:val="20"/>
                <w:szCs w:val="20"/>
              </w:rPr>
            </w:pPr>
            <w:r>
              <w:rPr>
                <w:sz w:val="20"/>
                <w:szCs w:val="20"/>
              </w:rPr>
              <w:t>2. A</w:t>
            </w:r>
            <w:r w:rsidRPr="000B722F">
              <w:rPr>
                <w:sz w:val="20"/>
                <w:szCs w:val="20"/>
              </w:rPr>
              <w:t>vailability</w:t>
            </w:r>
            <w:r>
              <w:rPr>
                <w:sz w:val="20"/>
                <w:szCs w:val="20"/>
              </w:rPr>
              <w:t xml:space="preserve"> of part of the required data</w:t>
            </w:r>
            <w:r w:rsidRPr="000B722F">
              <w:rPr>
                <w:sz w:val="20"/>
                <w:szCs w:val="20"/>
              </w:rPr>
              <w:t xml:space="preserve"> might be an issue in some developing countries.</w:t>
            </w:r>
          </w:p>
          <w:p w:rsidR="0096449C" w:rsidRPr="003D373D" w:rsidRDefault="0096449C" w:rsidP="0096449C">
            <w:pPr>
              <w:spacing w:before="120" w:after="120"/>
              <w:rPr>
                <w:sz w:val="20"/>
                <w:szCs w:val="20"/>
              </w:rPr>
            </w:pPr>
          </w:p>
        </w:tc>
        <w:tc>
          <w:tcPr>
            <w:tcW w:w="2976" w:type="dxa"/>
          </w:tcPr>
          <w:p w:rsidR="0096449C" w:rsidRPr="00D06157" w:rsidRDefault="0096449C" w:rsidP="0096449C">
            <w:pPr>
              <w:pStyle w:val="Default"/>
              <w:spacing w:before="120" w:after="120"/>
              <w:ind w:left="33"/>
              <w:rPr>
                <w:rFonts w:asciiTheme="minorHAnsi" w:hAnsiTheme="minorHAnsi"/>
                <w:sz w:val="20"/>
                <w:szCs w:val="20"/>
              </w:rPr>
            </w:pPr>
            <w:r>
              <w:rPr>
                <w:rFonts w:asciiTheme="minorHAnsi" w:hAnsiTheme="minorHAnsi"/>
                <w:sz w:val="20"/>
                <w:szCs w:val="20"/>
              </w:rPr>
              <w:t>1. Most of the data required under this indicator is generally available in national statistics. However, g</w:t>
            </w:r>
            <w:r w:rsidRPr="003D373D">
              <w:rPr>
                <w:rFonts w:asciiTheme="minorHAnsi" w:hAnsiTheme="minorHAnsi"/>
                <w:sz w:val="20"/>
                <w:szCs w:val="20"/>
              </w:rPr>
              <w:t>etting hold of the information required for indicator</w:t>
            </w:r>
            <w:r w:rsidRPr="00E62D5E">
              <w:rPr>
                <w:rFonts w:asciiTheme="minorHAnsi" w:hAnsiTheme="minorHAnsi"/>
                <w:sz w:val="20"/>
                <w:szCs w:val="20"/>
              </w:rPr>
              <w:t xml:space="preserve"> component 17.4 might be challenging, in light of the commercially sensitive nature of</w:t>
            </w:r>
            <w:r>
              <w:rPr>
                <w:rFonts w:asciiTheme="minorHAnsi" w:hAnsiTheme="minorHAnsi"/>
                <w:sz w:val="20"/>
                <w:szCs w:val="20"/>
              </w:rPr>
              <w:t xml:space="preserve"> </w:t>
            </w:r>
            <w:r w:rsidRPr="003D373D">
              <w:rPr>
                <w:rFonts w:asciiTheme="minorHAnsi" w:hAnsiTheme="minorHAnsi"/>
                <w:sz w:val="20"/>
                <w:szCs w:val="20"/>
              </w:rPr>
              <w:t>production cost data</w:t>
            </w:r>
            <w:r>
              <w:rPr>
                <w:rFonts w:asciiTheme="minorHAnsi" w:hAnsiTheme="minorHAnsi"/>
                <w:sz w:val="20"/>
                <w:szCs w:val="20"/>
              </w:rPr>
              <w:t>.</w:t>
            </w:r>
          </w:p>
        </w:tc>
        <w:tc>
          <w:tcPr>
            <w:tcW w:w="3119" w:type="dxa"/>
          </w:tcPr>
          <w:p w:rsidR="0096449C" w:rsidRPr="00D06157" w:rsidRDefault="0096449C" w:rsidP="0096449C">
            <w:pPr>
              <w:pStyle w:val="Default"/>
              <w:spacing w:before="120" w:after="120"/>
              <w:rPr>
                <w:rFonts w:asciiTheme="minorHAnsi" w:hAnsiTheme="minorHAnsi"/>
                <w:sz w:val="20"/>
                <w:szCs w:val="20"/>
              </w:rPr>
            </w:pPr>
          </w:p>
        </w:tc>
        <w:tc>
          <w:tcPr>
            <w:tcW w:w="1843" w:type="dxa"/>
          </w:tcPr>
          <w:p w:rsidR="0096449C" w:rsidRPr="00D06157" w:rsidRDefault="0096449C" w:rsidP="0096449C">
            <w:pPr>
              <w:pStyle w:val="Default"/>
              <w:spacing w:before="120" w:after="120"/>
              <w:rPr>
                <w:rFonts w:asciiTheme="minorHAnsi" w:hAnsiTheme="minorHAnsi"/>
                <w:sz w:val="20"/>
                <w:szCs w:val="20"/>
              </w:rPr>
            </w:pPr>
            <w:r w:rsidRPr="00D06157">
              <w:rPr>
                <w:rFonts w:asciiTheme="minorHAnsi" w:hAnsiTheme="minorHAnsi"/>
                <w:sz w:val="20"/>
                <w:szCs w:val="20"/>
              </w:rPr>
              <w:t xml:space="preserve"> </w:t>
            </w:r>
          </w:p>
        </w:tc>
        <w:tc>
          <w:tcPr>
            <w:tcW w:w="2494" w:type="dxa"/>
          </w:tcPr>
          <w:p w:rsidR="0096449C" w:rsidRPr="00E62D5E" w:rsidRDefault="0096449C" w:rsidP="0096449C">
            <w:pPr>
              <w:pStyle w:val="Default"/>
              <w:spacing w:before="120" w:after="120"/>
              <w:ind w:left="33"/>
              <w:rPr>
                <w:rFonts w:asciiTheme="minorHAnsi" w:hAnsiTheme="minorHAnsi"/>
                <w:sz w:val="20"/>
                <w:szCs w:val="20"/>
              </w:rPr>
            </w:pPr>
            <w:r>
              <w:rPr>
                <w:rFonts w:asciiTheme="minorHAnsi" w:hAnsiTheme="minorHAnsi" w:cstheme="minorBidi"/>
                <w:sz w:val="20"/>
                <w:szCs w:val="20"/>
              </w:rPr>
              <w:t xml:space="preserve">1. </w:t>
            </w:r>
            <w:r w:rsidRPr="00E62D5E">
              <w:rPr>
                <w:rFonts w:asciiTheme="minorHAnsi" w:hAnsiTheme="minorHAnsi" w:cstheme="minorBidi"/>
                <w:sz w:val="20"/>
                <w:szCs w:val="20"/>
              </w:rPr>
              <w:t xml:space="preserve">Further guidance on how to account for co-products and by-products </w:t>
            </w:r>
            <w:r w:rsidRPr="00366217">
              <w:rPr>
                <w:rFonts w:asciiTheme="minorHAnsi" w:hAnsiTheme="minorHAnsi" w:cs="StempelGaramondLTStd-Roman"/>
                <w:sz w:val="20"/>
                <w:szCs w:val="20"/>
              </w:rPr>
              <w:t>under the various components of this indicator would be useful.</w:t>
            </w:r>
          </w:p>
        </w:tc>
      </w:tr>
      <w:tr w:rsidR="0096449C" w:rsidTr="0096449C">
        <w:tc>
          <w:tcPr>
            <w:tcW w:w="1961" w:type="dxa"/>
            <w:vAlign w:val="center"/>
          </w:tcPr>
          <w:p w:rsidR="0096449C" w:rsidRPr="003736FE" w:rsidRDefault="0096449C" w:rsidP="0096449C">
            <w:pPr>
              <w:pStyle w:val="Default"/>
              <w:spacing w:before="120" w:after="120"/>
              <w:rPr>
                <w:sz w:val="18"/>
                <w:szCs w:val="18"/>
              </w:rPr>
            </w:pPr>
            <w:r w:rsidRPr="00445B6A">
              <w:rPr>
                <w:b/>
                <w:bCs/>
                <w:sz w:val="18"/>
                <w:szCs w:val="18"/>
              </w:rPr>
              <w:t>18. Net energy balance</w:t>
            </w:r>
          </w:p>
        </w:tc>
        <w:tc>
          <w:tcPr>
            <w:tcW w:w="3087" w:type="dxa"/>
          </w:tcPr>
          <w:p w:rsidR="0096449C" w:rsidRPr="00D06157" w:rsidRDefault="0096449C" w:rsidP="0096449C">
            <w:pPr>
              <w:pStyle w:val="Default"/>
              <w:spacing w:before="120" w:after="120"/>
              <w:rPr>
                <w:rFonts w:asciiTheme="minorHAnsi" w:hAnsiTheme="minorHAnsi"/>
                <w:sz w:val="20"/>
                <w:szCs w:val="20"/>
              </w:rPr>
            </w:pPr>
          </w:p>
        </w:tc>
        <w:tc>
          <w:tcPr>
            <w:tcW w:w="2976" w:type="dxa"/>
          </w:tcPr>
          <w:p w:rsidR="0096449C" w:rsidRPr="00BE0E0F" w:rsidRDefault="0096449C" w:rsidP="0096449C">
            <w:pPr>
              <w:pStyle w:val="Default"/>
              <w:spacing w:before="120" w:after="120"/>
              <w:rPr>
                <w:rFonts w:asciiTheme="minorHAnsi" w:hAnsiTheme="minorHAnsi"/>
                <w:sz w:val="20"/>
                <w:szCs w:val="20"/>
              </w:rPr>
            </w:pPr>
            <w:r>
              <w:rPr>
                <w:rFonts w:asciiTheme="minorHAnsi" w:hAnsiTheme="minorHAnsi"/>
                <w:sz w:val="20"/>
                <w:szCs w:val="20"/>
              </w:rPr>
              <w:t xml:space="preserve">1. </w:t>
            </w:r>
            <w:r w:rsidRPr="00965036">
              <w:rPr>
                <w:rFonts w:asciiTheme="minorHAnsi" w:hAnsiTheme="minorHAnsi"/>
                <w:sz w:val="20"/>
                <w:szCs w:val="20"/>
              </w:rPr>
              <w:t>Limited data available</w:t>
            </w:r>
            <w:r>
              <w:rPr>
                <w:rFonts w:asciiTheme="minorHAnsi" w:hAnsiTheme="minorHAnsi"/>
                <w:sz w:val="20"/>
                <w:szCs w:val="20"/>
              </w:rPr>
              <w:t>.</w:t>
            </w:r>
          </w:p>
        </w:tc>
        <w:tc>
          <w:tcPr>
            <w:tcW w:w="3119" w:type="dxa"/>
          </w:tcPr>
          <w:p w:rsidR="0096449C" w:rsidRPr="00D06157" w:rsidRDefault="0096449C" w:rsidP="0096449C">
            <w:pPr>
              <w:pStyle w:val="Default"/>
              <w:spacing w:before="120" w:after="120"/>
              <w:rPr>
                <w:rFonts w:asciiTheme="minorHAnsi" w:hAnsiTheme="minorHAnsi"/>
                <w:sz w:val="20"/>
                <w:szCs w:val="20"/>
              </w:rPr>
            </w:pPr>
            <w:r>
              <w:rPr>
                <w:rFonts w:asciiTheme="minorHAnsi" w:hAnsiTheme="minorHAnsi"/>
                <w:sz w:val="20"/>
                <w:szCs w:val="20"/>
              </w:rPr>
              <w:t>1. Relevant.</w:t>
            </w:r>
          </w:p>
        </w:tc>
        <w:tc>
          <w:tcPr>
            <w:tcW w:w="1843" w:type="dxa"/>
          </w:tcPr>
          <w:p w:rsidR="0096449C" w:rsidRPr="00D06157" w:rsidRDefault="0096449C" w:rsidP="0096449C">
            <w:pPr>
              <w:pStyle w:val="Default"/>
              <w:spacing w:before="120" w:after="120"/>
              <w:rPr>
                <w:rFonts w:asciiTheme="minorHAnsi" w:hAnsiTheme="minorHAnsi"/>
                <w:sz w:val="20"/>
                <w:szCs w:val="20"/>
              </w:rPr>
            </w:pPr>
          </w:p>
        </w:tc>
        <w:tc>
          <w:tcPr>
            <w:tcW w:w="2494" w:type="dxa"/>
          </w:tcPr>
          <w:p w:rsidR="0096449C" w:rsidRPr="00D06157" w:rsidRDefault="0096449C" w:rsidP="0096449C">
            <w:pPr>
              <w:pStyle w:val="Default"/>
              <w:spacing w:before="120" w:after="120"/>
              <w:rPr>
                <w:rFonts w:asciiTheme="minorHAnsi" w:hAnsiTheme="minorHAnsi"/>
                <w:sz w:val="20"/>
                <w:szCs w:val="20"/>
              </w:rPr>
            </w:pPr>
            <w:r>
              <w:rPr>
                <w:rFonts w:asciiTheme="minorHAnsi" w:hAnsiTheme="minorHAnsi"/>
                <w:sz w:val="20"/>
                <w:szCs w:val="20"/>
              </w:rPr>
              <w:t>1. Energy balance should be evaluated on LCA basis, using data similar to those used for indicator 1.</w:t>
            </w:r>
          </w:p>
        </w:tc>
      </w:tr>
      <w:tr w:rsidR="0096449C" w:rsidTr="0096449C">
        <w:tc>
          <w:tcPr>
            <w:tcW w:w="1961" w:type="dxa"/>
            <w:vAlign w:val="center"/>
          </w:tcPr>
          <w:p w:rsidR="0096449C" w:rsidRPr="003736FE" w:rsidRDefault="0096449C" w:rsidP="0096449C">
            <w:pPr>
              <w:pStyle w:val="Default"/>
              <w:spacing w:before="120" w:after="120"/>
              <w:rPr>
                <w:sz w:val="18"/>
                <w:szCs w:val="18"/>
              </w:rPr>
            </w:pPr>
            <w:r>
              <w:rPr>
                <w:b/>
                <w:bCs/>
                <w:sz w:val="18"/>
                <w:szCs w:val="18"/>
              </w:rPr>
              <w:t xml:space="preserve">19. Gross value added </w:t>
            </w:r>
          </w:p>
        </w:tc>
        <w:tc>
          <w:tcPr>
            <w:tcW w:w="3087" w:type="dxa"/>
          </w:tcPr>
          <w:p w:rsidR="0096449C" w:rsidRPr="00D06157" w:rsidRDefault="0096449C" w:rsidP="0096449C">
            <w:pPr>
              <w:spacing w:before="120" w:after="120"/>
              <w:rPr>
                <w:sz w:val="20"/>
                <w:szCs w:val="20"/>
              </w:rPr>
            </w:pPr>
            <w:r>
              <w:rPr>
                <w:sz w:val="20"/>
                <w:szCs w:val="20"/>
              </w:rPr>
              <w:t>1. D</w:t>
            </w:r>
            <w:r w:rsidRPr="000B722F">
              <w:rPr>
                <w:sz w:val="20"/>
                <w:szCs w:val="20"/>
              </w:rPr>
              <w:t>ata availability might be an issue in some developing countries.</w:t>
            </w:r>
          </w:p>
          <w:p w:rsidR="0096449C" w:rsidRPr="00D06157" w:rsidRDefault="0096449C" w:rsidP="0096449C">
            <w:pPr>
              <w:spacing w:before="120" w:after="120"/>
              <w:rPr>
                <w:sz w:val="20"/>
                <w:szCs w:val="20"/>
              </w:rPr>
            </w:pPr>
          </w:p>
          <w:p w:rsidR="0096449C" w:rsidRPr="00D06157" w:rsidRDefault="0096449C" w:rsidP="0096449C">
            <w:pPr>
              <w:spacing w:before="120" w:after="120"/>
              <w:rPr>
                <w:sz w:val="20"/>
                <w:szCs w:val="20"/>
              </w:rPr>
            </w:pPr>
          </w:p>
        </w:tc>
        <w:tc>
          <w:tcPr>
            <w:tcW w:w="2976" w:type="dxa"/>
          </w:tcPr>
          <w:p w:rsidR="0096449C" w:rsidRPr="00D06157" w:rsidRDefault="0096449C" w:rsidP="0096449C">
            <w:pPr>
              <w:pStyle w:val="ListParagraph"/>
              <w:spacing w:before="120" w:after="120" w:line="240" w:lineRule="auto"/>
              <w:ind w:left="33"/>
              <w:rPr>
                <w:sz w:val="20"/>
                <w:szCs w:val="20"/>
              </w:rPr>
            </w:pPr>
            <w:r w:rsidRPr="00BE0E0F">
              <w:rPr>
                <w:sz w:val="20"/>
                <w:szCs w:val="20"/>
              </w:rPr>
              <w:t xml:space="preserve">1. </w:t>
            </w:r>
            <w:r w:rsidRPr="00BE0E0F">
              <w:rPr>
                <w:rFonts w:cs="StempelGaramondLTStd-Roman"/>
                <w:sz w:val="20"/>
                <w:szCs w:val="20"/>
              </w:rPr>
              <w:t>The availability of sufficiently detailed and up to date</w:t>
            </w:r>
            <w:r>
              <w:rPr>
                <w:rFonts w:cs="StempelGaramondLTStd-Roman"/>
                <w:sz w:val="20"/>
                <w:szCs w:val="20"/>
              </w:rPr>
              <w:t xml:space="preserve"> i</w:t>
            </w:r>
            <w:r w:rsidRPr="00BE0E0F">
              <w:rPr>
                <w:rFonts w:cs="StempelGaramondLTStd-Roman"/>
                <w:sz w:val="20"/>
                <w:szCs w:val="20"/>
              </w:rPr>
              <w:t>nform</w:t>
            </w:r>
            <w:r>
              <w:rPr>
                <w:rFonts w:cs="StempelGaramondLTStd-Roman"/>
                <w:sz w:val="20"/>
                <w:szCs w:val="20"/>
              </w:rPr>
              <w:t>ation (e.g. with regard to the value of intermediate inputs) might be an issue in some</w:t>
            </w:r>
            <w:r w:rsidRPr="00BE0E0F">
              <w:rPr>
                <w:rFonts w:cs="StempelGaramondLTStd-Roman"/>
                <w:sz w:val="20"/>
                <w:szCs w:val="20"/>
              </w:rPr>
              <w:t xml:space="preserve"> developing countries</w:t>
            </w:r>
            <w:r>
              <w:rPr>
                <w:rFonts w:cs="StempelGaramondLTStd-Roman"/>
                <w:sz w:val="20"/>
                <w:szCs w:val="20"/>
              </w:rPr>
              <w:t>.</w:t>
            </w:r>
          </w:p>
        </w:tc>
        <w:tc>
          <w:tcPr>
            <w:tcW w:w="3119" w:type="dxa"/>
          </w:tcPr>
          <w:p w:rsidR="0096449C" w:rsidRPr="00D06157" w:rsidRDefault="0096449C" w:rsidP="0096449C">
            <w:pPr>
              <w:spacing w:before="120" w:after="120"/>
              <w:rPr>
                <w:sz w:val="20"/>
                <w:szCs w:val="20"/>
              </w:rPr>
            </w:pPr>
          </w:p>
        </w:tc>
        <w:tc>
          <w:tcPr>
            <w:tcW w:w="1843" w:type="dxa"/>
          </w:tcPr>
          <w:p w:rsidR="0096449C" w:rsidRPr="00D06157" w:rsidRDefault="0096449C" w:rsidP="0096449C">
            <w:pPr>
              <w:spacing w:before="120" w:after="120"/>
              <w:rPr>
                <w:sz w:val="20"/>
                <w:szCs w:val="20"/>
              </w:rPr>
            </w:pPr>
          </w:p>
        </w:tc>
        <w:tc>
          <w:tcPr>
            <w:tcW w:w="2494" w:type="dxa"/>
          </w:tcPr>
          <w:p w:rsidR="0096449C" w:rsidRPr="00D06157" w:rsidRDefault="0096449C" w:rsidP="0096449C">
            <w:pPr>
              <w:spacing w:before="120" w:after="120"/>
              <w:rPr>
                <w:sz w:val="20"/>
                <w:szCs w:val="20"/>
              </w:rPr>
            </w:pPr>
            <w:r>
              <w:rPr>
                <w:sz w:val="20"/>
                <w:szCs w:val="20"/>
              </w:rPr>
              <w:t xml:space="preserve">1. </w:t>
            </w:r>
            <w:r w:rsidRPr="00A55CF4">
              <w:rPr>
                <w:sz w:val="20"/>
                <w:szCs w:val="20"/>
              </w:rPr>
              <w:t>In the lack of information regarding the gross va</w:t>
            </w:r>
            <w:r>
              <w:rPr>
                <w:sz w:val="20"/>
                <w:szCs w:val="20"/>
              </w:rPr>
              <w:t xml:space="preserve">lue added generated by the production of a certain biofuel, </w:t>
            </w:r>
            <w:r w:rsidRPr="00A55CF4">
              <w:rPr>
                <w:sz w:val="20"/>
                <w:szCs w:val="20"/>
              </w:rPr>
              <w:t>the estimated gross profit per unit of energy of a representative</w:t>
            </w:r>
            <w:r>
              <w:rPr>
                <w:sz w:val="20"/>
                <w:szCs w:val="20"/>
              </w:rPr>
              <w:t xml:space="preserve"> </w:t>
            </w:r>
            <w:r w:rsidRPr="00A55CF4">
              <w:rPr>
                <w:sz w:val="20"/>
                <w:szCs w:val="20"/>
              </w:rPr>
              <w:t xml:space="preserve">plant </w:t>
            </w:r>
            <w:r>
              <w:rPr>
                <w:sz w:val="20"/>
                <w:szCs w:val="20"/>
              </w:rPr>
              <w:t xml:space="preserve">producing such biofuel could be </w:t>
            </w:r>
            <w:r w:rsidRPr="00A55CF4">
              <w:rPr>
                <w:sz w:val="20"/>
                <w:szCs w:val="20"/>
              </w:rPr>
              <w:t>used as a proxy</w:t>
            </w:r>
          </w:p>
        </w:tc>
      </w:tr>
      <w:tr w:rsidR="0096449C" w:rsidTr="0096449C">
        <w:tc>
          <w:tcPr>
            <w:tcW w:w="1961" w:type="dxa"/>
            <w:vAlign w:val="center"/>
          </w:tcPr>
          <w:p w:rsidR="0096449C" w:rsidRPr="003736FE" w:rsidRDefault="0096449C" w:rsidP="0096449C">
            <w:pPr>
              <w:pStyle w:val="Default"/>
              <w:spacing w:before="120" w:after="120"/>
              <w:rPr>
                <w:sz w:val="18"/>
                <w:szCs w:val="18"/>
              </w:rPr>
            </w:pPr>
            <w:r>
              <w:rPr>
                <w:b/>
                <w:bCs/>
                <w:sz w:val="18"/>
                <w:szCs w:val="18"/>
              </w:rPr>
              <w:t xml:space="preserve">20. Change in the consumption of fossil fuels and traditional use of biomass </w:t>
            </w:r>
          </w:p>
        </w:tc>
        <w:tc>
          <w:tcPr>
            <w:tcW w:w="3087" w:type="dxa"/>
          </w:tcPr>
          <w:p w:rsidR="0096449C" w:rsidRPr="00D06157" w:rsidRDefault="0096449C" w:rsidP="0096449C">
            <w:pPr>
              <w:spacing w:before="120" w:after="120"/>
              <w:rPr>
                <w:sz w:val="20"/>
                <w:szCs w:val="20"/>
              </w:rPr>
            </w:pPr>
            <w:r>
              <w:rPr>
                <w:sz w:val="20"/>
                <w:szCs w:val="20"/>
              </w:rPr>
              <w:t>1. Data availability might be an issue in some developing countries.</w:t>
            </w:r>
          </w:p>
        </w:tc>
        <w:tc>
          <w:tcPr>
            <w:tcW w:w="2976" w:type="dxa"/>
          </w:tcPr>
          <w:p w:rsidR="0096449C" w:rsidRPr="00D06157" w:rsidRDefault="0096449C" w:rsidP="0096449C">
            <w:pPr>
              <w:spacing w:before="120" w:after="120"/>
              <w:rPr>
                <w:sz w:val="20"/>
                <w:szCs w:val="20"/>
              </w:rPr>
            </w:pPr>
            <w:r>
              <w:rPr>
                <w:sz w:val="20"/>
                <w:szCs w:val="20"/>
              </w:rPr>
              <w:t>1. In some countries, most of the required data is likely to come from one-off reports. Data may be particularly scarce with regard to the replacement of traditional biomass use with modern bioenergy.</w:t>
            </w:r>
          </w:p>
        </w:tc>
        <w:tc>
          <w:tcPr>
            <w:tcW w:w="3119" w:type="dxa"/>
          </w:tcPr>
          <w:p w:rsidR="0096449C" w:rsidRPr="00D06157" w:rsidRDefault="0096449C" w:rsidP="0096449C">
            <w:pPr>
              <w:spacing w:before="120" w:after="120"/>
              <w:rPr>
                <w:sz w:val="20"/>
                <w:szCs w:val="20"/>
              </w:rPr>
            </w:pPr>
            <w:r>
              <w:rPr>
                <w:sz w:val="20"/>
                <w:szCs w:val="20"/>
              </w:rPr>
              <w:t>1. Relevant, in order to support data collection and analysis.</w:t>
            </w:r>
          </w:p>
        </w:tc>
        <w:tc>
          <w:tcPr>
            <w:tcW w:w="1843" w:type="dxa"/>
          </w:tcPr>
          <w:p w:rsidR="0096449C" w:rsidRPr="00D06157" w:rsidRDefault="0096449C" w:rsidP="0096449C">
            <w:pPr>
              <w:spacing w:before="120" w:after="120"/>
              <w:rPr>
                <w:sz w:val="20"/>
                <w:szCs w:val="20"/>
              </w:rPr>
            </w:pPr>
          </w:p>
        </w:tc>
        <w:tc>
          <w:tcPr>
            <w:tcW w:w="2494" w:type="dxa"/>
          </w:tcPr>
          <w:p w:rsidR="0096449C" w:rsidRPr="00D06157" w:rsidRDefault="0096449C" w:rsidP="0096449C">
            <w:pPr>
              <w:spacing w:before="120" w:after="120"/>
              <w:rPr>
                <w:sz w:val="20"/>
                <w:szCs w:val="20"/>
              </w:rPr>
            </w:pPr>
            <w:r>
              <w:rPr>
                <w:sz w:val="20"/>
                <w:szCs w:val="20"/>
              </w:rPr>
              <w:t>1. T</w:t>
            </w:r>
            <w:r w:rsidRPr="00A55CF4">
              <w:rPr>
                <w:sz w:val="20"/>
                <w:szCs w:val="20"/>
              </w:rPr>
              <w:t>he wording of indicator component 20.1b appears</w:t>
            </w:r>
            <w:r>
              <w:rPr>
                <w:sz w:val="20"/>
                <w:szCs w:val="20"/>
              </w:rPr>
              <w:t xml:space="preserve"> </w:t>
            </w:r>
            <w:r w:rsidRPr="00A55CF4">
              <w:rPr>
                <w:sz w:val="20"/>
                <w:szCs w:val="20"/>
              </w:rPr>
              <w:t>to be tailored mainly to oil importing countries. In the case</w:t>
            </w:r>
            <w:r>
              <w:rPr>
                <w:sz w:val="20"/>
                <w:szCs w:val="20"/>
              </w:rPr>
              <w:t xml:space="preserve"> of oil exporting countries</w:t>
            </w:r>
            <w:r w:rsidRPr="00A55CF4">
              <w:rPr>
                <w:sz w:val="20"/>
                <w:szCs w:val="20"/>
              </w:rPr>
              <w:t>, it is more appropriate to assess the increase in oil exports rather than the</w:t>
            </w:r>
            <w:r>
              <w:rPr>
                <w:sz w:val="20"/>
                <w:szCs w:val="20"/>
              </w:rPr>
              <w:t xml:space="preserve"> </w:t>
            </w:r>
            <w:r w:rsidRPr="00A55CF4">
              <w:rPr>
                <w:sz w:val="20"/>
                <w:szCs w:val="20"/>
              </w:rPr>
              <w:t xml:space="preserve">import </w:t>
            </w:r>
            <w:r w:rsidRPr="00A55CF4">
              <w:rPr>
                <w:sz w:val="20"/>
                <w:szCs w:val="20"/>
              </w:rPr>
              <w:lastRenderedPageBreak/>
              <w:t xml:space="preserve">savings associated with the substitution of fossil fuels with biofuels. </w:t>
            </w:r>
          </w:p>
        </w:tc>
      </w:tr>
      <w:tr w:rsidR="0096449C" w:rsidRPr="005D5ED0" w:rsidTr="0096449C">
        <w:tc>
          <w:tcPr>
            <w:tcW w:w="1961" w:type="dxa"/>
            <w:vAlign w:val="center"/>
          </w:tcPr>
          <w:p w:rsidR="0096449C" w:rsidRPr="004361E7" w:rsidRDefault="0096449C" w:rsidP="0096449C">
            <w:pPr>
              <w:pStyle w:val="Default"/>
              <w:spacing w:before="120" w:after="120"/>
              <w:rPr>
                <w:sz w:val="18"/>
                <w:szCs w:val="18"/>
              </w:rPr>
            </w:pPr>
            <w:r>
              <w:rPr>
                <w:b/>
                <w:bCs/>
                <w:sz w:val="18"/>
                <w:szCs w:val="18"/>
              </w:rPr>
              <w:lastRenderedPageBreak/>
              <w:t xml:space="preserve">21. Training and re-qualification of the workforce </w:t>
            </w:r>
          </w:p>
        </w:tc>
        <w:tc>
          <w:tcPr>
            <w:tcW w:w="3087" w:type="dxa"/>
          </w:tcPr>
          <w:p w:rsidR="0096449C" w:rsidRPr="00D06157" w:rsidRDefault="0096449C" w:rsidP="0096449C">
            <w:pPr>
              <w:pStyle w:val="Default"/>
              <w:spacing w:before="120" w:after="120"/>
              <w:rPr>
                <w:rFonts w:asciiTheme="minorHAnsi" w:hAnsiTheme="minorHAnsi"/>
                <w:sz w:val="20"/>
                <w:szCs w:val="20"/>
              </w:rPr>
            </w:pPr>
            <w:r>
              <w:rPr>
                <w:rFonts w:asciiTheme="minorHAnsi" w:hAnsiTheme="minorHAnsi"/>
                <w:sz w:val="20"/>
                <w:szCs w:val="20"/>
              </w:rPr>
              <w:t>1. Data availability might be an issue in some developing countries.</w:t>
            </w:r>
          </w:p>
          <w:p w:rsidR="0096449C" w:rsidRPr="00D06157" w:rsidRDefault="0096449C" w:rsidP="0096449C">
            <w:pPr>
              <w:pStyle w:val="Default"/>
              <w:spacing w:before="120" w:after="120"/>
              <w:rPr>
                <w:rFonts w:asciiTheme="minorHAnsi" w:hAnsiTheme="minorHAnsi"/>
                <w:sz w:val="20"/>
                <w:szCs w:val="20"/>
              </w:rPr>
            </w:pPr>
          </w:p>
          <w:p w:rsidR="0096449C" w:rsidRPr="00D06157" w:rsidRDefault="0096449C" w:rsidP="0096449C">
            <w:pPr>
              <w:pStyle w:val="Default"/>
              <w:spacing w:before="120" w:after="120"/>
              <w:rPr>
                <w:rFonts w:asciiTheme="minorHAnsi" w:hAnsiTheme="minorHAnsi"/>
                <w:sz w:val="20"/>
                <w:szCs w:val="20"/>
              </w:rPr>
            </w:pPr>
          </w:p>
        </w:tc>
        <w:tc>
          <w:tcPr>
            <w:tcW w:w="2976" w:type="dxa"/>
          </w:tcPr>
          <w:p w:rsidR="0096449C" w:rsidRPr="00D06157" w:rsidRDefault="0096449C" w:rsidP="0096449C">
            <w:pPr>
              <w:pStyle w:val="Default"/>
              <w:spacing w:before="120" w:after="120"/>
              <w:rPr>
                <w:rFonts w:asciiTheme="minorHAnsi" w:hAnsiTheme="minorHAnsi"/>
                <w:sz w:val="20"/>
                <w:szCs w:val="20"/>
              </w:rPr>
            </w:pPr>
            <w:r>
              <w:rPr>
                <w:rFonts w:asciiTheme="minorHAnsi" w:hAnsiTheme="minorHAnsi"/>
                <w:sz w:val="20"/>
                <w:szCs w:val="20"/>
              </w:rPr>
              <w:t xml:space="preserve">1. Data on the skill level of workers (i.e. indicator component 21.1) might be limited in some developing countries, especially with regard to feedstock production, where high rates of informal </w:t>
            </w:r>
            <w:proofErr w:type="spellStart"/>
            <w:r>
              <w:rPr>
                <w:rFonts w:asciiTheme="minorHAnsi" w:hAnsiTheme="minorHAnsi"/>
                <w:sz w:val="20"/>
                <w:szCs w:val="20"/>
              </w:rPr>
              <w:t>labour</w:t>
            </w:r>
            <w:proofErr w:type="spellEnd"/>
            <w:r>
              <w:rPr>
                <w:rFonts w:asciiTheme="minorHAnsi" w:hAnsiTheme="minorHAnsi"/>
                <w:sz w:val="20"/>
                <w:szCs w:val="20"/>
              </w:rPr>
              <w:t xml:space="preserve"> are found. </w:t>
            </w:r>
          </w:p>
        </w:tc>
        <w:tc>
          <w:tcPr>
            <w:tcW w:w="3119" w:type="dxa"/>
          </w:tcPr>
          <w:p w:rsidR="0096449C" w:rsidRPr="00D06157" w:rsidRDefault="0096449C" w:rsidP="0096449C">
            <w:pPr>
              <w:pStyle w:val="Default"/>
              <w:spacing w:before="120" w:after="120"/>
              <w:rPr>
                <w:rFonts w:asciiTheme="minorHAnsi" w:hAnsiTheme="minorHAnsi"/>
                <w:sz w:val="20"/>
                <w:szCs w:val="20"/>
              </w:rPr>
            </w:pPr>
          </w:p>
        </w:tc>
        <w:tc>
          <w:tcPr>
            <w:tcW w:w="1843" w:type="dxa"/>
          </w:tcPr>
          <w:p w:rsidR="0096449C" w:rsidRPr="00D06157" w:rsidRDefault="0096449C" w:rsidP="0096449C">
            <w:pPr>
              <w:pStyle w:val="Default"/>
              <w:spacing w:before="120" w:after="120"/>
              <w:rPr>
                <w:rFonts w:asciiTheme="minorHAnsi" w:hAnsiTheme="minorHAnsi"/>
                <w:sz w:val="20"/>
                <w:szCs w:val="20"/>
              </w:rPr>
            </w:pPr>
          </w:p>
        </w:tc>
        <w:tc>
          <w:tcPr>
            <w:tcW w:w="2494" w:type="dxa"/>
          </w:tcPr>
          <w:p w:rsidR="0096449C" w:rsidRPr="00D06157" w:rsidRDefault="0096449C" w:rsidP="0096449C">
            <w:pPr>
              <w:autoSpaceDE w:val="0"/>
              <w:autoSpaceDN w:val="0"/>
              <w:adjustRightInd w:val="0"/>
              <w:rPr>
                <w:sz w:val="20"/>
                <w:szCs w:val="20"/>
              </w:rPr>
            </w:pPr>
            <w:r>
              <w:rPr>
                <w:sz w:val="20"/>
                <w:szCs w:val="20"/>
              </w:rPr>
              <w:t xml:space="preserve">1. Indicator component 21.2 </w:t>
            </w:r>
            <w:r w:rsidRPr="002C12A3">
              <w:rPr>
                <w:sz w:val="20"/>
                <w:szCs w:val="20"/>
              </w:rPr>
              <w:t>appears to have a pretty narrow scope, as it seems to be applicable mainly</w:t>
            </w:r>
            <w:r>
              <w:rPr>
                <w:sz w:val="20"/>
                <w:szCs w:val="20"/>
              </w:rPr>
              <w:t xml:space="preserve"> </w:t>
            </w:r>
            <w:r w:rsidRPr="002C12A3">
              <w:rPr>
                <w:sz w:val="20"/>
                <w:szCs w:val="20"/>
              </w:rPr>
              <w:t xml:space="preserve">(if not exclusively) to requalification </w:t>
            </w:r>
            <w:proofErr w:type="spellStart"/>
            <w:r w:rsidRPr="002C12A3">
              <w:rPr>
                <w:sz w:val="20"/>
                <w:szCs w:val="20"/>
              </w:rPr>
              <w:t>programmes</w:t>
            </w:r>
            <w:proofErr w:type="spellEnd"/>
            <w:r w:rsidRPr="002C12A3">
              <w:rPr>
                <w:sz w:val="20"/>
                <w:szCs w:val="20"/>
              </w:rPr>
              <w:t xml:space="preserve"> for sugarcane cutters who lost their jobs</w:t>
            </w:r>
            <w:r>
              <w:rPr>
                <w:sz w:val="20"/>
                <w:szCs w:val="20"/>
              </w:rPr>
              <w:t xml:space="preserve"> </w:t>
            </w:r>
            <w:r w:rsidRPr="002C12A3">
              <w:rPr>
                <w:sz w:val="20"/>
                <w:szCs w:val="20"/>
              </w:rPr>
              <w:t>as a result of a switch to mechanical harvest.</w:t>
            </w:r>
          </w:p>
        </w:tc>
      </w:tr>
      <w:tr w:rsidR="0096449C" w:rsidTr="0096449C">
        <w:tc>
          <w:tcPr>
            <w:tcW w:w="1961" w:type="dxa"/>
            <w:vAlign w:val="center"/>
          </w:tcPr>
          <w:p w:rsidR="0096449C" w:rsidRPr="003736FE" w:rsidRDefault="0096449C" w:rsidP="0096449C">
            <w:pPr>
              <w:pStyle w:val="Default"/>
              <w:spacing w:before="120" w:after="120"/>
              <w:rPr>
                <w:sz w:val="18"/>
                <w:szCs w:val="18"/>
              </w:rPr>
            </w:pPr>
            <w:r>
              <w:rPr>
                <w:b/>
                <w:bCs/>
                <w:sz w:val="18"/>
                <w:szCs w:val="18"/>
              </w:rPr>
              <w:t>22. Energy diversity</w:t>
            </w:r>
          </w:p>
        </w:tc>
        <w:tc>
          <w:tcPr>
            <w:tcW w:w="3087" w:type="dxa"/>
          </w:tcPr>
          <w:p w:rsidR="0096449C" w:rsidRPr="00D06157" w:rsidRDefault="0096449C" w:rsidP="0096449C">
            <w:pPr>
              <w:spacing w:before="120" w:after="120"/>
              <w:rPr>
                <w:sz w:val="20"/>
                <w:szCs w:val="20"/>
              </w:rPr>
            </w:pPr>
          </w:p>
          <w:p w:rsidR="0096449C" w:rsidRPr="00D06157" w:rsidRDefault="0096449C" w:rsidP="0096449C">
            <w:pPr>
              <w:spacing w:before="120" w:after="120"/>
              <w:rPr>
                <w:sz w:val="20"/>
                <w:szCs w:val="20"/>
              </w:rPr>
            </w:pPr>
          </w:p>
        </w:tc>
        <w:tc>
          <w:tcPr>
            <w:tcW w:w="2976" w:type="dxa"/>
          </w:tcPr>
          <w:p w:rsidR="0096449C" w:rsidRPr="00D06157" w:rsidRDefault="0096449C" w:rsidP="0096449C">
            <w:pPr>
              <w:spacing w:before="120" w:after="120"/>
              <w:rPr>
                <w:sz w:val="20"/>
                <w:szCs w:val="20"/>
              </w:rPr>
            </w:pPr>
          </w:p>
        </w:tc>
        <w:tc>
          <w:tcPr>
            <w:tcW w:w="3119" w:type="dxa"/>
          </w:tcPr>
          <w:p w:rsidR="0096449C" w:rsidRPr="00D06157" w:rsidRDefault="0096449C" w:rsidP="0096449C">
            <w:pPr>
              <w:spacing w:before="120" w:after="120"/>
              <w:rPr>
                <w:sz w:val="20"/>
                <w:szCs w:val="20"/>
              </w:rPr>
            </w:pPr>
          </w:p>
        </w:tc>
        <w:tc>
          <w:tcPr>
            <w:tcW w:w="1843" w:type="dxa"/>
          </w:tcPr>
          <w:p w:rsidR="0096449C" w:rsidRPr="00D06157" w:rsidRDefault="0096449C" w:rsidP="0096449C">
            <w:pPr>
              <w:spacing w:before="120" w:after="120"/>
              <w:rPr>
                <w:sz w:val="20"/>
                <w:szCs w:val="20"/>
              </w:rPr>
            </w:pPr>
          </w:p>
        </w:tc>
        <w:tc>
          <w:tcPr>
            <w:tcW w:w="2494" w:type="dxa"/>
          </w:tcPr>
          <w:p w:rsidR="0096449C" w:rsidRPr="00BE0E0F" w:rsidRDefault="0096449C" w:rsidP="0096449C">
            <w:pPr>
              <w:rPr>
                <w:sz w:val="20"/>
                <w:szCs w:val="20"/>
              </w:rPr>
            </w:pPr>
            <w:r>
              <w:rPr>
                <w:sz w:val="20"/>
                <w:szCs w:val="20"/>
              </w:rPr>
              <w:t>1. No particular issues arose in the implementation of this indicator so far.</w:t>
            </w:r>
          </w:p>
        </w:tc>
      </w:tr>
      <w:tr w:rsidR="0096449C" w:rsidTr="0096449C">
        <w:tc>
          <w:tcPr>
            <w:tcW w:w="1961" w:type="dxa"/>
            <w:vAlign w:val="center"/>
          </w:tcPr>
          <w:p w:rsidR="0096449C" w:rsidRPr="003736FE" w:rsidRDefault="0096449C" w:rsidP="0096449C">
            <w:pPr>
              <w:pStyle w:val="Default"/>
              <w:spacing w:before="120" w:after="120"/>
              <w:rPr>
                <w:sz w:val="18"/>
                <w:szCs w:val="18"/>
              </w:rPr>
            </w:pPr>
            <w:r>
              <w:rPr>
                <w:b/>
                <w:bCs/>
                <w:sz w:val="18"/>
                <w:szCs w:val="18"/>
              </w:rPr>
              <w:t xml:space="preserve">23. Infrastructure and logistics for distribution of bioenergy </w:t>
            </w:r>
          </w:p>
        </w:tc>
        <w:tc>
          <w:tcPr>
            <w:tcW w:w="3087" w:type="dxa"/>
          </w:tcPr>
          <w:p w:rsidR="0096449C" w:rsidRPr="00D06157" w:rsidRDefault="0096449C" w:rsidP="0096449C">
            <w:pPr>
              <w:spacing w:before="120" w:after="120"/>
              <w:rPr>
                <w:sz w:val="20"/>
                <w:szCs w:val="20"/>
              </w:rPr>
            </w:pPr>
            <w:r>
              <w:rPr>
                <w:sz w:val="20"/>
                <w:szCs w:val="20"/>
              </w:rPr>
              <w:t xml:space="preserve">1. </w:t>
            </w:r>
            <w:r w:rsidRPr="006425B0">
              <w:rPr>
                <w:sz w:val="20"/>
                <w:szCs w:val="20"/>
              </w:rPr>
              <w:t xml:space="preserve">Data availability might be an issue in </w:t>
            </w:r>
            <w:r>
              <w:rPr>
                <w:sz w:val="20"/>
                <w:szCs w:val="20"/>
              </w:rPr>
              <w:t xml:space="preserve">some </w:t>
            </w:r>
            <w:r w:rsidRPr="006425B0">
              <w:rPr>
                <w:sz w:val="20"/>
                <w:szCs w:val="20"/>
              </w:rPr>
              <w:t>developing countries</w:t>
            </w:r>
            <w:r>
              <w:rPr>
                <w:sz w:val="20"/>
                <w:szCs w:val="20"/>
              </w:rPr>
              <w:t>.</w:t>
            </w:r>
          </w:p>
          <w:p w:rsidR="0096449C" w:rsidRPr="00D06157" w:rsidRDefault="0096449C" w:rsidP="0096449C">
            <w:pPr>
              <w:spacing w:before="120" w:after="120"/>
              <w:rPr>
                <w:sz w:val="20"/>
                <w:szCs w:val="20"/>
              </w:rPr>
            </w:pPr>
          </w:p>
        </w:tc>
        <w:tc>
          <w:tcPr>
            <w:tcW w:w="2976" w:type="dxa"/>
          </w:tcPr>
          <w:p w:rsidR="0096449C" w:rsidRPr="00D06157" w:rsidRDefault="0096449C" w:rsidP="0096449C">
            <w:pPr>
              <w:spacing w:before="120" w:after="120"/>
              <w:rPr>
                <w:sz w:val="20"/>
                <w:szCs w:val="20"/>
              </w:rPr>
            </w:pPr>
            <w:r>
              <w:rPr>
                <w:sz w:val="20"/>
                <w:szCs w:val="20"/>
              </w:rPr>
              <w:t>1. Sufficiently detailed data for a quantitative assessment of this indicator might not be available in some developing countries.</w:t>
            </w:r>
          </w:p>
        </w:tc>
        <w:tc>
          <w:tcPr>
            <w:tcW w:w="3119" w:type="dxa"/>
          </w:tcPr>
          <w:p w:rsidR="0096449C" w:rsidRPr="00D06157" w:rsidRDefault="0096449C" w:rsidP="0096449C">
            <w:pPr>
              <w:spacing w:before="120" w:after="120"/>
              <w:rPr>
                <w:sz w:val="20"/>
                <w:szCs w:val="20"/>
              </w:rPr>
            </w:pPr>
            <w:r>
              <w:rPr>
                <w:sz w:val="20"/>
                <w:szCs w:val="20"/>
              </w:rPr>
              <w:t>1. Relevant.</w:t>
            </w:r>
          </w:p>
        </w:tc>
        <w:tc>
          <w:tcPr>
            <w:tcW w:w="1843" w:type="dxa"/>
          </w:tcPr>
          <w:p w:rsidR="0096449C" w:rsidRPr="00D06157" w:rsidRDefault="0096449C" w:rsidP="0096449C">
            <w:pPr>
              <w:spacing w:before="120" w:after="120"/>
              <w:rPr>
                <w:sz w:val="20"/>
                <w:szCs w:val="20"/>
              </w:rPr>
            </w:pPr>
          </w:p>
        </w:tc>
        <w:tc>
          <w:tcPr>
            <w:tcW w:w="2494" w:type="dxa"/>
          </w:tcPr>
          <w:p w:rsidR="0096449C" w:rsidRPr="00736E6D" w:rsidRDefault="0096449C" w:rsidP="0096449C">
            <w:pPr>
              <w:autoSpaceDE w:val="0"/>
              <w:autoSpaceDN w:val="0"/>
              <w:adjustRightInd w:val="0"/>
              <w:rPr>
                <w:rFonts w:cs="Arial"/>
                <w:color w:val="000000"/>
                <w:sz w:val="20"/>
                <w:szCs w:val="20"/>
              </w:rPr>
            </w:pPr>
            <w:r>
              <w:rPr>
                <w:rFonts w:cs="Arial"/>
                <w:color w:val="000000"/>
                <w:sz w:val="20"/>
                <w:szCs w:val="20"/>
              </w:rPr>
              <w:t xml:space="preserve">1. </w:t>
            </w:r>
            <w:r w:rsidRPr="00736E6D">
              <w:rPr>
                <w:rFonts w:cs="Arial"/>
                <w:color w:val="000000"/>
                <w:sz w:val="20"/>
                <w:szCs w:val="20"/>
              </w:rPr>
              <w:t>Further guidance would be useful on how to measure the actual capacity of critical distribution systems for bioenergy and above all on how to attribute to bioenergy its share and disaggregate the</w:t>
            </w:r>
          </w:p>
          <w:p w:rsidR="0096449C" w:rsidRPr="00D06157" w:rsidRDefault="0096449C" w:rsidP="0096449C">
            <w:pPr>
              <w:autoSpaceDE w:val="0"/>
              <w:autoSpaceDN w:val="0"/>
              <w:adjustRightInd w:val="0"/>
              <w:rPr>
                <w:sz w:val="20"/>
                <w:szCs w:val="20"/>
              </w:rPr>
            </w:pPr>
            <w:proofErr w:type="gramStart"/>
            <w:r w:rsidRPr="00736E6D">
              <w:rPr>
                <w:rFonts w:cs="Arial"/>
                <w:color w:val="000000"/>
                <w:sz w:val="20"/>
                <w:szCs w:val="20"/>
              </w:rPr>
              <w:t>results</w:t>
            </w:r>
            <w:proofErr w:type="gramEnd"/>
            <w:r w:rsidRPr="00736E6D">
              <w:rPr>
                <w:rFonts w:cs="Arial"/>
                <w:color w:val="000000"/>
                <w:sz w:val="20"/>
                <w:szCs w:val="20"/>
              </w:rPr>
              <w:t xml:space="preserve"> by commodities transported along the same routes and distributed by the same multi-purposes infrastructures.</w:t>
            </w:r>
          </w:p>
        </w:tc>
      </w:tr>
      <w:tr w:rsidR="0096449C" w:rsidTr="0096449C">
        <w:trPr>
          <w:trHeight w:val="577"/>
        </w:trPr>
        <w:tc>
          <w:tcPr>
            <w:tcW w:w="1961" w:type="dxa"/>
            <w:vAlign w:val="center"/>
          </w:tcPr>
          <w:p w:rsidR="0096449C" w:rsidRPr="003736FE" w:rsidRDefault="0096449C" w:rsidP="0096449C">
            <w:pPr>
              <w:pStyle w:val="Default"/>
              <w:spacing w:before="120" w:after="120"/>
              <w:rPr>
                <w:sz w:val="18"/>
                <w:szCs w:val="18"/>
              </w:rPr>
            </w:pPr>
            <w:r>
              <w:rPr>
                <w:b/>
                <w:bCs/>
                <w:sz w:val="18"/>
                <w:szCs w:val="18"/>
              </w:rPr>
              <w:t xml:space="preserve">24. Capacity and flexibility of use of bioenergy </w:t>
            </w:r>
          </w:p>
        </w:tc>
        <w:tc>
          <w:tcPr>
            <w:tcW w:w="3087" w:type="dxa"/>
          </w:tcPr>
          <w:p w:rsidR="0096449C" w:rsidRPr="00D06157" w:rsidRDefault="0096449C" w:rsidP="0096449C">
            <w:pPr>
              <w:spacing w:before="120" w:after="120"/>
              <w:rPr>
                <w:sz w:val="20"/>
                <w:szCs w:val="20"/>
              </w:rPr>
            </w:pPr>
          </w:p>
          <w:p w:rsidR="0096449C" w:rsidRPr="00D06157" w:rsidRDefault="0096449C" w:rsidP="0096449C">
            <w:pPr>
              <w:spacing w:before="120" w:after="120"/>
              <w:rPr>
                <w:sz w:val="20"/>
                <w:szCs w:val="20"/>
              </w:rPr>
            </w:pPr>
          </w:p>
          <w:p w:rsidR="0096449C" w:rsidRPr="00D06157" w:rsidRDefault="0096449C" w:rsidP="0096449C">
            <w:pPr>
              <w:spacing w:before="120" w:after="120"/>
              <w:rPr>
                <w:sz w:val="20"/>
                <w:szCs w:val="20"/>
              </w:rPr>
            </w:pPr>
          </w:p>
        </w:tc>
        <w:tc>
          <w:tcPr>
            <w:tcW w:w="2976" w:type="dxa"/>
          </w:tcPr>
          <w:p w:rsidR="0096449C" w:rsidRPr="00D06157" w:rsidRDefault="0096449C" w:rsidP="0096449C">
            <w:pPr>
              <w:spacing w:before="120" w:after="120"/>
              <w:rPr>
                <w:sz w:val="20"/>
                <w:szCs w:val="20"/>
              </w:rPr>
            </w:pPr>
          </w:p>
        </w:tc>
        <w:tc>
          <w:tcPr>
            <w:tcW w:w="3119" w:type="dxa"/>
          </w:tcPr>
          <w:p w:rsidR="0096449C" w:rsidRPr="00D06157" w:rsidRDefault="0096449C" w:rsidP="0096449C">
            <w:pPr>
              <w:spacing w:before="120" w:after="120"/>
              <w:rPr>
                <w:sz w:val="20"/>
                <w:szCs w:val="20"/>
              </w:rPr>
            </w:pPr>
          </w:p>
        </w:tc>
        <w:tc>
          <w:tcPr>
            <w:tcW w:w="1843" w:type="dxa"/>
          </w:tcPr>
          <w:p w:rsidR="0096449C" w:rsidRPr="00D06157" w:rsidRDefault="0096449C" w:rsidP="0096449C">
            <w:pPr>
              <w:spacing w:before="120" w:after="120"/>
              <w:rPr>
                <w:sz w:val="20"/>
                <w:szCs w:val="20"/>
              </w:rPr>
            </w:pPr>
          </w:p>
        </w:tc>
        <w:tc>
          <w:tcPr>
            <w:tcW w:w="2494" w:type="dxa"/>
          </w:tcPr>
          <w:p w:rsidR="0096449C" w:rsidRPr="00D06157" w:rsidRDefault="0096449C" w:rsidP="0096449C">
            <w:pPr>
              <w:rPr>
                <w:sz w:val="20"/>
                <w:szCs w:val="20"/>
              </w:rPr>
            </w:pPr>
            <w:r>
              <w:rPr>
                <w:sz w:val="20"/>
                <w:szCs w:val="20"/>
              </w:rPr>
              <w:t xml:space="preserve">1. </w:t>
            </w:r>
            <w:r w:rsidRPr="006425B0">
              <w:rPr>
                <w:sz w:val="20"/>
                <w:szCs w:val="20"/>
              </w:rPr>
              <w:t>In the example described in the scientific basis section</w:t>
            </w:r>
            <w:r>
              <w:rPr>
                <w:sz w:val="20"/>
                <w:szCs w:val="20"/>
              </w:rPr>
              <w:t xml:space="preserve"> of this indicator in the report</w:t>
            </w:r>
            <w:r w:rsidRPr="006425B0">
              <w:rPr>
                <w:sz w:val="20"/>
                <w:szCs w:val="20"/>
              </w:rPr>
              <w:t>, the numerators and</w:t>
            </w:r>
            <w:r>
              <w:rPr>
                <w:sz w:val="20"/>
                <w:szCs w:val="20"/>
              </w:rPr>
              <w:t xml:space="preserve"> </w:t>
            </w:r>
            <w:r w:rsidRPr="006425B0">
              <w:rPr>
                <w:sz w:val="20"/>
                <w:szCs w:val="20"/>
              </w:rPr>
              <w:t xml:space="preserve">denominators for the calculation of the capacity ratios of countries A and B were </w:t>
            </w:r>
            <w:r>
              <w:rPr>
                <w:sz w:val="20"/>
                <w:szCs w:val="20"/>
              </w:rPr>
              <w:t xml:space="preserve">mistakenly </w:t>
            </w:r>
            <w:r w:rsidRPr="006425B0">
              <w:rPr>
                <w:sz w:val="20"/>
                <w:szCs w:val="20"/>
              </w:rPr>
              <w:t>inverted</w:t>
            </w:r>
            <w:r>
              <w:rPr>
                <w:sz w:val="20"/>
                <w:szCs w:val="20"/>
              </w:rPr>
              <w:t>. This might confuse users.</w:t>
            </w:r>
          </w:p>
        </w:tc>
      </w:tr>
    </w:tbl>
    <w:p w:rsidR="00625744" w:rsidRDefault="00625744" w:rsidP="0096449C">
      <w:pPr>
        <w:jc w:val="both"/>
        <w:rPr>
          <w:lang w:eastAsia="it-IT"/>
        </w:rPr>
      </w:pPr>
    </w:p>
    <w:sectPr w:rsidR="00625744" w:rsidSect="00A15830">
      <w:pgSz w:w="16839" w:h="11907" w:orient="landscape" w:code="9"/>
      <w:pgMar w:top="567" w:right="1276" w:bottom="567" w:left="992" w:header="1077"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19C" w:rsidRDefault="00E1619C">
      <w:r>
        <w:separator/>
      </w:r>
    </w:p>
  </w:endnote>
  <w:endnote w:type="continuationSeparator" w:id="0">
    <w:p w:rsidR="00E1619C" w:rsidRDefault="00E16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font359">
    <w:altName w:val="Times New Roman"/>
    <w:charset w:val="01"/>
    <w:family w:val="auto"/>
    <w:pitch w:val="variable"/>
  </w:font>
  <w:font w:name="StempelGaramondLTStd-Roman">
    <w:altName w:val="Times New Roman"/>
    <w:charset w:val="01"/>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3FC" w:rsidRDefault="002A69DE" w:rsidP="00065AB9">
    <w:pPr>
      <w:pStyle w:val="Footer"/>
      <w:framePr w:wrap="around" w:vAnchor="text" w:hAnchor="margin" w:xAlign="center" w:y="1"/>
      <w:rPr>
        <w:rStyle w:val="PageNumber"/>
      </w:rPr>
    </w:pPr>
    <w:r>
      <w:rPr>
        <w:rStyle w:val="PageNumber"/>
      </w:rPr>
      <w:fldChar w:fldCharType="begin"/>
    </w:r>
    <w:r w:rsidR="00E053FC">
      <w:rPr>
        <w:rStyle w:val="PageNumber"/>
      </w:rPr>
      <w:instrText xml:space="preserve">PAGE  </w:instrText>
    </w:r>
    <w:r>
      <w:rPr>
        <w:rStyle w:val="PageNumber"/>
      </w:rPr>
      <w:fldChar w:fldCharType="end"/>
    </w:r>
  </w:p>
  <w:p w:rsidR="00E053FC" w:rsidRDefault="00E053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3FC" w:rsidRDefault="00E053FC" w:rsidP="00065AB9">
    <w:pPr>
      <w:pStyle w:val="Footer"/>
      <w:framePr w:wrap="around" w:vAnchor="text" w:hAnchor="margin" w:xAlign="center" w:y="1"/>
      <w:rPr>
        <w:rStyle w:val="PageNumber"/>
        <w:sz w:val="20"/>
        <w:szCs w:val="20"/>
      </w:rPr>
    </w:pPr>
  </w:p>
  <w:p w:rsidR="00E053FC" w:rsidRPr="0071796F" w:rsidRDefault="002A69DE" w:rsidP="00FE1169">
    <w:pPr>
      <w:pStyle w:val="Footer"/>
      <w:framePr w:wrap="around" w:vAnchor="text" w:hAnchor="margin" w:xAlign="center" w:y="1"/>
      <w:jc w:val="center"/>
      <w:rPr>
        <w:rStyle w:val="PageNumber"/>
        <w:sz w:val="20"/>
        <w:szCs w:val="20"/>
      </w:rPr>
    </w:pPr>
    <w:r w:rsidRPr="0071796F">
      <w:rPr>
        <w:rStyle w:val="PageNumber"/>
        <w:sz w:val="20"/>
        <w:szCs w:val="20"/>
      </w:rPr>
      <w:fldChar w:fldCharType="begin"/>
    </w:r>
    <w:r w:rsidR="00E053FC" w:rsidRPr="0071796F">
      <w:rPr>
        <w:rStyle w:val="PageNumber"/>
        <w:sz w:val="20"/>
        <w:szCs w:val="20"/>
      </w:rPr>
      <w:instrText xml:space="preserve">PAGE  </w:instrText>
    </w:r>
    <w:r w:rsidRPr="0071796F">
      <w:rPr>
        <w:rStyle w:val="PageNumber"/>
        <w:sz w:val="20"/>
        <w:szCs w:val="20"/>
      </w:rPr>
      <w:fldChar w:fldCharType="separate"/>
    </w:r>
    <w:r w:rsidR="00654A04">
      <w:rPr>
        <w:rStyle w:val="PageNumber"/>
        <w:noProof/>
        <w:sz w:val="20"/>
        <w:szCs w:val="20"/>
      </w:rPr>
      <w:t>2</w:t>
    </w:r>
    <w:r w:rsidRPr="0071796F">
      <w:rPr>
        <w:rStyle w:val="PageNumber"/>
        <w:sz w:val="20"/>
        <w:szCs w:val="20"/>
      </w:rPr>
      <w:fldChar w:fldCharType="end"/>
    </w:r>
  </w:p>
  <w:p w:rsidR="00E053FC" w:rsidRDefault="00E053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3438707"/>
      <w:docPartObj>
        <w:docPartGallery w:val="Page Numbers (Bottom of Page)"/>
        <w:docPartUnique/>
      </w:docPartObj>
    </w:sdtPr>
    <w:sdtEndPr>
      <w:rPr>
        <w:sz w:val="20"/>
        <w:szCs w:val="20"/>
      </w:rPr>
    </w:sdtEndPr>
    <w:sdtContent>
      <w:p w:rsidR="00E053FC" w:rsidRPr="00705BF5" w:rsidRDefault="002A69DE" w:rsidP="00A15830">
        <w:pPr>
          <w:pStyle w:val="Footer"/>
          <w:jc w:val="center"/>
          <w:rPr>
            <w:sz w:val="20"/>
            <w:szCs w:val="20"/>
          </w:rPr>
        </w:pPr>
        <w:r w:rsidRPr="00705BF5">
          <w:rPr>
            <w:sz w:val="20"/>
            <w:szCs w:val="20"/>
          </w:rPr>
          <w:fldChar w:fldCharType="begin"/>
        </w:r>
        <w:r w:rsidR="00E053FC" w:rsidRPr="00705BF5">
          <w:rPr>
            <w:sz w:val="20"/>
            <w:szCs w:val="20"/>
          </w:rPr>
          <w:instrText xml:space="preserve"> PAGE   \* MERGEFORMAT </w:instrText>
        </w:r>
        <w:r w:rsidRPr="00705BF5">
          <w:rPr>
            <w:sz w:val="20"/>
            <w:szCs w:val="20"/>
          </w:rPr>
          <w:fldChar w:fldCharType="separate"/>
        </w:r>
        <w:r w:rsidR="00654A04">
          <w:rPr>
            <w:noProof/>
            <w:sz w:val="20"/>
            <w:szCs w:val="20"/>
          </w:rPr>
          <w:t>1</w:t>
        </w:r>
        <w:r w:rsidRPr="00705BF5">
          <w:rPr>
            <w:noProof/>
            <w:sz w:val="20"/>
            <w:szCs w:val="20"/>
          </w:rPr>
          <w:fldChar w:fldCharType="end"/>
        </w:r>
      </w:p>
    </w:sdtContent>
  </w:sdt>
  <w:p w:rsidR="00E053FC" w:rsidRDefault="00E053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19C" w:rsidRDefault="00E1619C">
      <w:r>
        <w:separator/>
      </w:r>
    </w:p>
  </w:footnote>
  <w:footnote w:type="continuationSeparator" w:id="0">
    <w:p w:rsidR="00E1619C" w:rsidRDefault="00E161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3FC" w:rsidRDefault="00E053FC">
    <w:pPr>
      <w:pStyle w:val="Header"/>
    </w:pPr>
    <w:r>
      <w:rPr>
        <w:noProof/>
        <w:lang w:eastAsia="zh-CN"/>
      </w:rPr>
      <w:drawing>
        <wp:anchor distT="0" distB="0" distL="114300" distR="114300" simplePos="0" relativeHeight="251657728" behindDoc="0" locked="0" layoutInCell="1" allowOverlap="1">
          <wp:simplePos x="0" y="0"/>
          <wp:positionH relativeFrom="column">
            <wp:posOffset>-396240</wp:posOffset>
          </wp:positionH>
          <wp:positionV relativeFrom="paragraph">
            <wp:posOffset>-617220</wp:posOffset>
          </wp:positionV>
          <wp:extent cx="6829425" cy="8001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829425" cy="800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6"/>
    <w:multiLevelType w:val="multilevel"/>
    <w:tmpl w:val="01602CC2"/>
    <w:name w:val="WW8Num5"/>
    <w:lvl w:ilvl="0">
      <w:start w:val="1"/>
      <w:numFmt w:val="upperLetter"/>
      <w:lvlText w:val="%1."/>
      <w:lvlJc w:val="left"/>
      <w:pPr>
        <w:tabs>
          <w:tab w:val="num" w:pos="0"/>
        </w:tabs>
        <w:ind w:left="720" w:hanging="360"/>
      </w:pPr>
      <w:rPr>
        <w:rFonts w:ascii="Calibri" w:hAnsi="Calibri" w:hint="default"/>
        <w:b/>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96D27AC"/>
    <w:multiLevelType w:val="hybridMultilevel"/>
    <w:tmpl w:val="223A7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A4104"/>
    <w:multiLevelType w:val="hybridMultilevel"/>
    <w:tmpl w:val="706C755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24B0033"/>
    <w:multiLevelType w:val="hybridMultilevel"/>
    <w:tmpl w:val="4E52EF98"/>
    <w:lvl w:ilvl="0" w:tplc="334C3C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644"/>
    <w:rsid w:val="00003307"/>
    <w:rsid w:val="0000404C"/>
    <w:rsid w:val="000049B0"/>
    <w:rsid w:val="0001225F"/>
    <w:rsid w:val="00012721"/>
    <w:rsid w:val="000136A5"/>
    <w:rsid w:val="00015B93"/>
    <w:rsid w:val="00027F18"/>
    <w:rsid w:val="000306F9"/>
    <w:rsid w:val="000307FB"/>
    <w:rsid w:val="00030A54"/>
    <w:rsid w:val="00031F7B"/>
    <w:rsid w:val="00032A1D"/>
    <w:rsid w:val="00032E22"/>
    <w:rsid w:val="000417DC"/>
    <w:rsid w:val="00041875"/>
    <w:rsid w:val="00043372"/>
    <w:rsid w:val="00044567"/>
    <w:rsid w:val="00045EFE"/>
    <w:rsid w:val="00046E73"/>
    <w:rsid w:val="000517B2"/>
    <w:rsid w:val="00051FE4"/>
    <w:rsid w:val="00052A67"/>
    <w:rsid w:val="00053219"/>
    <w:rsid w:val="000537AB"/>
    <w:rsid w:val="00053A94"/>
    <w:rsid w:val="00056465"/>
    <w:rsid w:val="00065AB9"/>
    <w:rsid w:val="00070C26"/>
    <w:rsid w:val="000713E9"/>
    <w:rsid w:val="00077757"/>
    <w:rsid w:val="000808EB"/>
    <w:rsid w:val="00083DB8"/>
    <w:rsid w:val="0008599E"/>
    <w:rsid w:val="000942FA"/>
    <w:rsid w:val="000950C0"/>
    <w:rsid w:val="00095ED8"/>
    <w:rsid w:val="000962D4"/>
    <w:rsid w:val="000A1826"/>
    <w:rsid w:val="000A1CCC"/>
    <w:rsid w:val="000A1ED0"/>
    <w:rsid w:val="000A21BC"/>
    <w:rsid w:val="000A2AF3"/>
    <w:rsid w:val="000A323F"/>
    <w:rsid w:val="000B2114"/>
    <w:rsid w:val="000B4DCF"/>
    <w:rsid w:val="000B4EA7"/>
    <w:rsid w:val="000B722F"/>
    <w:rsid w:val="000C2648"/>
    <w:rsid w:val="000C43FB"/>
    <w:rsid w:val="000D5B63"/>
    <w:rsid w:val="000D66E7"/>
    <w:rsid w:val="000E205B"/>
    <w:rsid w:val="000E27D1"/>
    <w:rsid w:val="000E3C04"/>
    <w:rsid w:val="000E6746"/>
    <w:rsid w:val="000F1443"/>
    <w:rsid w:val="000F216B"/>
    <w:rsid w:val="000F49DE"/>
    <w:rsid w:val="000F5EA6"/>
    <w:rsid w:val="000F5FE7"/>
    <w:rsid w:val="000F6DE9"/>
    <w:rsid w:val="000F74F5"/>
    <w:rsid w:val="0010446C"/>
    <w:rsid w:val="0010504E"/>
    <w:rsid w:val="00105339"/>
    <w:rsid w:val="0011010F"/>
    <w:rsid w:val="00114D6C"/>
    <w:rsid w:val="00117EC9"/>
    <w:rsid w:val="00120A27"/>
    <w:rsid w:val="00120A2F"/>
    <w:rsid w:val="001243A2"/>
    <w:rsid w:val="0012444C"/>
    <w:rsid w:val="00126888"/>
    <w:rsid w:val="001273BD"/>
    <w:rsid w:val="00130644"/>
    <w:rsid w:val="0013201B"/>
    <w:rsid w:val="00137DDD"/>
    <w:rsid w:val="001408C1"/>
    <w:rsid w:val="00140CF6"/>
    <w:rsid w:val="00141BFF"/>
    <w:rsid w:val="00144492"/>
    <w:rsid w:val="0014547A"/>
    <w:rsid w:val="00151CBB"/>
    <w:rsid w:val="0015202C"/>
    <w:rsid w:val="001520CE"/>
    <w:rsid w:val="001639F0"/>
    <w:rsid w:val="00165C71"/>
    <w:rsid w:val="00166FAF"/>
    <w:rsid w:val="00173E10"/>
    <w:rsid w:val="00180B34"/>
    <w:rsid w:val="00180F7B"/>
    <w:rsid w:val="00184FD7"/>
    <w:rsid w:val="001902D2"/>
    <w:rsid w:val="0019102E"/>
    <w:rsid w:val="00191C66"/>
    <w:rsid w:val="00192B12"/>
    <w:rsid w:val="001949E2"/>
    <w:rsid w:val="001A0B9B"/>
    <w:rsid w:val="001A1BA4"/>
    <w:rsid w:val="001A773A"/>
    <w:rsid w:val="001B2C1C"/>
    <w:rsid w:val="001C0D74"/>
    <w:rsid w:val="001C2AC1"/>
    <w:rsid w:val="001D2B47"/>
    <w:rsid w:val="001D386D"/>
    <w:rsid w:val="001D446C"/>
    <w:rsid w:val="001D5688"/>
    <w:rsid w:val="001D56BD"/>
    <w:rsid w:val="001D688C"/>
    <w:rsid w:val="001E3AAE"/>
    <w:rsid w:val="001F3E5D"/>
    <w:rsid w:val="001F6EA0"/>
    <w:rsid w:val="001F79D1"/>
    <w:rsid w:val="00215133"/>
    <w:rsid w:val="00216437"/>
    <w:rsid w:val="002179C6"/>
    <w:rsid w:val="00220B4C"/>
    <w:rsid w:val="00223109"/>
    <w:rsid w:val="00224424"/>
    <w:rsid w:val="00226098"/>
    <w:rsid w:val="002275F0"/>
    <w:rsid w:val="002314C2"/>
    <w:rsid w:val="0023181D"/>
    <w:rsid w:val="00231D9F"/>
    <w:rsid w:val="00232F3A"/>
    <w:rsid w:val="00232F9A"/>
    <w:rsid w:val="00233476"/>
    <w:rsid w:val="002347BD"/>
    <w:rsid w:val="00234EB1"/>
    <w:rsid w:val="00237E47"/>
    <w:rsid w:val="00252FDE"/>
    <w:rsid w:val="0025336A"/>
    <w:rsid w:val="00253C36"/>
    <w:rsid w:val="00254768"/>
    <w:rsid w:val="0025482A"/>
    <w:rsid w:val="0026288B"/>
    <w:rsid w:val="002647AF"/>
    <w:rsid w:val="00264F2E"/>
    <w:rsid w:val="00265696"/>
    <w:rsid w:val="00273A9E"/>
    <w:rsid w:val="00277B56"/>
    <w:rsid w:val="00281222"/>
    <w:rsid w:val="00285549"/>
    <w:rsid w:val="002902DE"/>
    <w:rsid w:val="002908B6"/>
    <w:rsid w:val="00294090"/>
    <w:rsid w:val="00296776"/>
    <w:rsid w:val="002A245E"/>
    <w:rsid w:val="002A57F0"/>
    <w:rsid w:val="002A69DE"/>
    <w:rsid w:val="002A6ABD"/>
    <w:rsid w:val="002A7728"/>
    <w:rsid w:val="002A7A25"/>
    <w:rsid w:val="002B39C0"/>
    <w:rsid w:val="002B682D"/>
    <w:rsid w:val="002C0057"/>
    <w:rsid w:val="002C12A3"/>
    <w:rsid w:val="002C46F9"/>
    <w:rsid w:val="002D09E0"/>
    <w:rsid w:val="002D291B"/>
    <w:rsid w:val="002D336C"/>
    <w:rsid w:val="002D7B50"/>
    <w:rsid w:val="002E0D15"/>
    <w:rsid w:val="002E523F"/>
    <w:rsid w:val="002E7FA8"/>
    <w:rsid w:val="002F2EDC"/>
    <w:rsid w:val="002F6792"/>
    <w:rsid w:val="002F74B7"/>
    <w:rsid w:val="002F7576"/>
    <w:rsid w:val="00310988"/>
    <w:rsid w:val="003167FD"/>
    <w:rsid w:val="00316886"/>
    <w:rsid w:val="0032067E"/>
    <w:rsid w:val="00320AB1"/>
    <w:rsid w:val="0032196F"/>
    <w:rsid w:val="003223D8"/>
    <w:rsid w:val="00323B46"/>
    <w:rsid w:val="003246A7"/>
    <w:rsid w:val="00324967"/>
    <w:rsid w:val="00325863"/>
    <w:rsid w:val="00326980"/>
    <w:rsid w:val="0033706D"/>
    <w:rsid w:val="0034239C"/>
    <w:rsid w:val="003504EA"/>
    <w:rsid w:val="003601B9"/>
    <w:rsid w:val="00362094"/>
    <w:rsid w:val="0036436C"/>
    <w:rsid w:val="00366217"/>
    <w:rsid w:val="003662EE"/>
    <w:rsid w:val="003704A4"/>
    <w:rsid w:val="0037180F"/>
    <w:rsid w:val="003728AA"/>
    <w:rsid w:val="00372E83"/>
    <w:rsid w:val="003745F6"/>
    <w:rsid w:val="003756D4"/>
    <w:rsid w:val="003802A2"/>
    <w:rsid w:val="00390F19"/>
    <w:rsid w:val="0039231F"/>
    <w:rsid w:val="003928D7"/>
    <w:rsid w:val="0039639D"/>
    <w:rsid w:val="003A0CEF"/>
    <w:rsid w:val="003A41EA"/>
    <w:rsid w:val="003B055A"/>
    <w:rsid w:val="003B0DEA"/>
    <w:rsid w:val="003B145D"/>
    <w:rsid w:val="003B284D"/>
    <w:rsid w:val="003B335D"/>
    <w:rsid w:val="003C0120"/>
    <w:rsid w:val="003C0646"/>
    <w:rsid w:val="003C09C6"/>
    <w:rsid w:val="003C0F47"/>
    <w:rsid w:val="003C1D3D"/>
    <w:rsid w:val="003C235C"/>
    <w:rsid w:val="003C2694"/>
    <w:rsid w:val="003C2F19"/>
    <w:rsid w:val="003C31FD"/>
    <w:rsid w:val="003C4BC5"/>
    <w:rsid w:val="003C50CF"/>
    <w:rsid w:val="003D373D"/>
    <w:rsid w:val="003D7EF4"/>
    <w:rsid w:val="003E091F"/>
    <w:rsid w:val="003E5F73"/>
    <w:rsid w:val="003F1D02"/>
    <w:rsid w:val="003F213F"/>
    <w:rsid w:val="003F6C40"/>
    <w:rsid w:val="0040070B"/>
    <w:rsid w:val="00405062"/>
    <w:rsid w:val="00405297"/>
    <w:rsid w:val="00410192"/>
    <w:rsid w:val="00423F31"/>
    <w:rsid w:val="00424EDD"/>
    <w:rsid w:val="004257DC"/>
    <w:rsid w:val="00426068"/>
    <w:rsid w:val="00432A97"/>
    <w:rsid w:val="00433417"/>
    <w:rsid w:val="00436DF1"/>
    <w:rsid w:val="0043728E"/>
    <w:rsid w:val="0044209A"/>
    <w:rsid w:val="00445B6A"/>
    <w:rsid w:val="0044775F"/>
    <w:rsid w:val="00462038"/>
    <w:rsid w:val="00463F69"/>
    <w:rsid w:val="00464164"/>
    <w:rsid w:val="004643C7"/>
    <w:rsid w:val="004675D2"/>
    <w:rsid w:val="00467DA7"/>
    <w:rsid w:val="00470889"/>
    <w:rsid w:val="004753AE"/>
    <w:rsid w:val="0047674D"/>
    <w:rsid w:val="00482461"/>
    <w:rsid w:val="004831BA"/>
    <w:rsid w:val="00484262"/>
    <w:rsid w:val="00485393"/>
    <w:rsid w:val="004856BF"/>
    <w:rsid w:val="00497560"/>
    <w:rsid w:val="004A3B5D"/>
    <w:rsid w:val="004A703A"/>
    <w:rsid w:val="004B0196"/>
    <w:rsid w:val="004B0FD9"/>
    <w:rsid w:val="004B14B4"/>
    <w:rsid w:val="004B29FC"/>
    <w:rsid w:val="004B2F65"/>
    <w:rsid w:val="004B3D2F"/>
    <w:rsid w:val="004B44B7"/>
    <w:rsid w:val="004B5663"/>
    <w:rsid w:val="004C0B22"/>
    <w:rsid w:val="004C18E4"/>
    <w:rsid w:val="004C4DB7"/>
    <w:rsid w:val="004C7F74"/>
    <w:rsid w:val="004D1EB0"/>
    <w:rsid w:val="004D5843"/>
    <w:rsid w:val="004D7F2D"/>
    <w:rsid w:val="004E2C63"/>
    <w:rsid w:val="004E5F25"/>
    <w:rsid w:val="004E7F15"/>
    <w:rsid w:val="004F29A8"/>
    <w:rsid w:val="004F5E4D"/>
    <w:rsid w:val="004F74D8"/>
    <w:rsid w:val="00507E70"/>
    <w:rsid w:val="0051326B"/>
    <w:rsid w:val="00514CA9"/>
    <w:rsid w:val="0052788E"/>
    <w:rsid w:val="00531718"/>
    <w:rsid w:val="005330EA"/>
    <w:rsid w:val="00534CEA"/>
    <w:rsid w:val="00536A47"/>
    <w:rsid w:val="00537E60"/>
    <w:rsid w:val="0054138E"/>
    <w:rsid w:val="00545705"/>
    <w:rsid w:val="00545B8A"/>
    <w:rsid w:val="005531DE"/>
    <w:rsid w:val="00554BCD"/>
    <w:rsid w:val="00557E92"/>
    <w:rsid w:val="00566EF0"/>
    <w:rsid w:val="00567799"/>
    <w:rsid w:val="0057098D"/>
    <w:rsid w:val="00572E41"/>
    <w:rsid w:val="005760E6"/>
    <w:rsid w:val="00576E3E"/>
    <w:rsid w:val="005822FC"/>
    <w:rsid w:val="0058230F"/>
    <w:rsid w:val="00585D75"/>
    <w:rsid w:val="00587114"/>
    <w:rsid w:val="005875B0"/>
    <w:rsid w:val="005876CB"/>
    <w:rsid w:val="005A1BA4"/>
    <w:rsid w:val="005A1D80"/>
    <w:rsid w:val="005A32F6"/>
    <w:rsid w:val="005A7585"/>
    <w:rsid w:val="005B201E"/>
    <w:rsid w:val="005B2C6A"/>
    <w:rsid w:val="005B514D"/>
    <w:rsid w:val="005C019E"/>
    <w:rsid w:val="005C15DE"/>
    <w:rsid w:val="005C44C0"/>
    <w:rsid w:val="005D3D71"/>
    <w:rsid w:val="005D7C37"/>
    <w:rsid w:val="005E6AC8"/>
    <w:rsid w:val="005F14E0"/>
    <w:rsid w:val="005F2D6A"/>
    <w:rsid w:val="00601AF7"/>
    <w:rsid w:val="006039E1"/>
    <w:rsid w:val="0060461A"/>
    <w:rsid w:val="00606061"/>
    <w:rsid w:val="00606AE8"/>
    <w:rsid w:val="00607961"/>
    <w:rsid w:val="006144AE"/>
    <w:rsid w:val="006218CF"/>
    <w:rsid w:val="00622607"/>
    <w:rsid w:val="006237F0"/>
    <w:rsid w:val="00625744"/>
    <w:rsid w:val="0062650E"/>
    <w:rsid w:val="0063069E"/>
    <w:rsid w:val="00630CD0"/>
    <w:rsid w:val="00632073"/>
    <w:rsid w:val="006425B0"/>
    <w:rsid w:val="006433C5"/>
    <w:rsid w:val="0064623B"/>
    <w:rsid w:val="006522B6"/>
    <w:rsid w:val="00652AA7"/>
    <w:rsid w:val="00654A04"/>
    <w:rsid w:val="006557D5"/>
    <w:rsid w:val="0065694D"/>
    <w:rsid w:val="0066240E"/>
    <w:rsid w:val="00664B8F"/>
    <w:rsid w:val="00670CCF"/>
    <w:rsid w:val="00670D23"/>
    <w:rsid w:val="00670D5A"/>
    <w:rsid w:val="00670EEF"/>
    <w:rsid w:val="006745C2"/>
    <w:rsid w:val="00674F1D"/>
    <w:rsid w:val="00680CB1"/>
    <w:rsid w:val="006846A4"/>
    <w:rsid w:val="00686D19"/>
    <w:rsid w:val="0069417D"/>
    <w:rsid w:val="00694D94"/>
    <w:rsid w:val="006972ED"/>
    <w:rsid w:val="006A2041"/>
    <w:rsid w:val="006A28DF"/>
    <w:rsid w:val="006A4730"/>
    <w:rsid w:val="006B22DB"/>
    <w:rsid w:val="006B379E"/>
    <w:rsid w:val="006C14F1"/>
    <w:rsid w:val="006C20CA"/>
    <w:rsid w:val="006C49F7"/>
    <w:rsid w:val="006C5B30"/>
    <w:rsid w:val="006C6392"/>
    <w:rsid w:val="006C74FE"/>
    <w:rsid w:val="006D5721"/>
    <w:rsid w:val="006E50DB"/>
    <w:rsid w:val="006E7891"/>
    <w:rsid w:val="006F0AFB"/>
    <w:rsid w:val="006F0D59"/>
    <w:rsid w:val="006F1C17"/>
    <w:rsid w:val="006F695B"/>
    <w:rsid w:val="006F7079"/>
    <w:rsid w:val="00700F19"/>
    <w:rsid w:val="00705BF5"/>
    <w:rsid w:val="00707C22"/>
    <w:rsid w:val="007116FD"/>
    <w:rsid w:val="0071323E"/>
    <w:rsid w:val="00713A51"/>
    <w:rsid w:val="00714C78"/>
    <w:rsid w:val="007150D8"/>
    <w:rsid w:val="0071796F"/>
    <w:rsid w:val="007216FA"/>
    <w:rsid w:val="0072594E"/>
    <w:rsid w:val="0072731D"/>
    <w:rsid w:val="00736E6D"/>
    <w:rsid w:val="007372DD"/>
    <w:rsid w:val="00740F03"/>
    <w:rsid w:val="00741728"/>
    <w:rsid w:val="0074530B"/>
    <w:rsid w:val="00745B61"/>
    <w:rsid w:val="00745D35"/>
    <w:rsid w:val="007530FA"/>
    <w:rsid w:val="00762D00"/>
    <w:rsid w:val="0076381D"/>
    <w:rsid w:val="00767FEA"/>
    <w:rsid w:val="00773512"/>
    <w:rsid w:val="007802A6"/>
    <w:rsid w:val="00782B02"/>
    <w:rsid w:val="00790377"/>
    <w:rsid w:val="007914E6"/>
    <w:rsid w:val="007924C8"/>
    <w:rsid w:val="00797AC7"/>
    <w:rsid w:val="007A0718"/>
    <w:rsid w:val="007A31FF"/>
    <w:rsid w:val="007B66B1"/>
    <w:rsid w:val="007C22CC"/>
    <w:rsid w:val="007C62C6"/>
    <w:rsid w:val="007C7F48"/>
    <w:rsid w:val="007D0753"/>
    <w:rsid w:val="007D2D23"/>
    <w:rsid w:val="007D6D6F"/>
    <w:rsid w:val="007E4FEB"/>
    <w:rsid w:val="007E5C8B"/>
    <w:rsid w:val="007E5E4E"/>
    <w:rsid w:val="007F4F2D"/>
    <w:rsid w:val="00801741"/>
    <w:rsid w:val="00802EB3"/>
    <w:rsid w:val="00804927"/>
    <w:rsid w:val="00812672"/>
    <w:rsid w:val="008146FF"/>
    <w:rsid w:val="00821830"/>
    <w:rsid w:val="00826356"/>
    <w:rsid w:val="00833A96"/>
    <w:rsid w:val="00841F17"/>
    <w:rsid w:val="008420A6"/>
    <w:rsid w:val="008467C2"/>
    <w:rsid w:val="008511BD"/>
    <w:rsid w:val="00854874"/>
    <w:rsid w:val="00856565"/>
    <w:rsid w:val="00861ABC"/>
    <w:rsid w:val="00861B72"/>
    <w:rsid w:val="00862030"/>
    <w:rsid w:val="0086388F"/>
    <w:rsid w:val="00865D86"/>
    <w:rsid w:val="0088127D"/>
    <w:rsid w:val="00881715"/>
    <w:rsid w:val="00882032"/>
    <w:rsid w:val="00884620"/>
    <w:rsid w:val="00885511"/>
    <w:rsid w:val="008A2814"/>
    <w:rsid w:val="008A684A"/>
    <w:rsid w:val="008A78BC"/>
    <w:rsid w:val="008B24A2"/>
    <w:rsid w:val="008B28AB"/>
    <w:rsid w:val="008B3CC8"/>
    <w:rsid w:val="008B3E82"/>
    <w:rsid w:val="008C301E"/>
    <w:rsid w:val="008C37D7"/>
    <w:rsid w:val="008C3D61"/>
    <w:rsid w:val="008C462F"/>
    <w:rsid w:val="008C5465"/>
    <w:rsid w:val="008C7B4A"/>
    <w:rsid w:val="008D026D"/>
    <w:rsid w:val="008D41E5"/>
    <w:rsid w:val="008D6A22"/>
    <w:rsid w:val="008D74FF"/>
    <w:rsid w:val="008D7704"/>
    <w:rsid w:val="008D7E6C"/>
    <w:rsid w:val="008E1721"/>
    <w:rsid w:val="008E2D16"/>
    <w:rsid w:val="008F1AEB"/>
    <w:rsid w:val="008F468A"/>
    <w:rsid w:val="008F60C3"/>
    <w:rsid w:val="008F6295"/>
    <w:rsid w:val="008F7C0F"/>
    <w:rsid w:val="009064F9"/>
    <w:rsid w:val="0090782E"/>
    <w:rsid w:val="0091200F"/>
    <w:rsid w:val="00914722"/>
    <w:rsid w:val="009173C8"/>
    <w:rsid w:val="00930DE5"/>
    <w:rsid w:val="009327B0"/>
    <w:rsid w:val="00947404"/>
    <w:rsid w:val="0095186D"/>
    <w:rsid w:val="00956210"/>
    <w:rsid w:val="009563BE"/>
    <w:rsid w:val="00957783"/>
    <w:rsid w:val="00957873"/>
    <w:rsid w:val="0096449C"/>
    <w:rsid w:val="00965036"/>
    <w:rsid w:val="00967A50"/>
    <w:rsid w:val="00971A2F"/>
    <w:rsid w:val="009768EB"/>
    <w:rsid w:val="00983E45"/>
    <w:rsid w:val="00984DDF"/>
    <w:rsid w:val="00985BF4"/>
    <w:rsid w:val="00987EC3"/>
    <w:rsid w:val="00991BE7"/>
    <w:rsid w:val="0099599B"/>
    <w:rsid w:val="009A1CB5"/>
    <w:rsid w:val="009A6BB3"/>
    <w:rsid w:val="009C30A9"/>
    <w:rsid w:val="009C4D3C"/>
    <w:rsid w:val="009D100D"/>
    <w:rsid w:val="009D1030"/>
    <w:rsid w:val="009D2BDC"/>
    <w:rsid w:val="009D7357"/>
    <w:rsid w:val="009E05E4"/>
    <w:rsid w:val="009E36B3"/>
    <w:rsid w:val="009E5238"/>
    <w:rsid w:val="009E687D"/>
    <w:rsid w:val="009F1BE4"/>
    <w:rsid w:val="009F1F30"/>
    <w:rsid w:val="009F2D53"/>
    <w:rsid w:val="00A0030E"/>
    <w:rsid w:val="00A034B9"/>
    <w:rsid w:val="00A03578"/>
    <w:rsid w:val="00A05503"/>
    <w:rsid w:val="00A066C2"/>
    <w:rsid w:val="00A102D2"/>
    <w:rsid w:val="00A13735"/>
    <w:rsid w:val="00A15830"/>
    <w:rsid w:val="00A15B46"/>
    <w:rsid w:val="00A25ED1"/>
    <w:rsid w:val="00A32929"/>
    <w:rsid w:val="00A51B75"/>
    <w:rsid w:val="00A55215"/>
    <w:rsid w:val="00A55CF4"/>
    <w:rsid w:val="00A60583"/>
    <w:rsid w:val="00A643F5"/>
    <w:rsid w:val="00A729F1"/>
    <w:rsid w:val="00A777EB"/>
    <w:rsid w:val="00A77B68"/>
    <w:rsid w:val="00A8101C"/>
    <w:rsid w:val="00A82452"/>
    <w:rsid w:val="00A829AE"/>
    <w:rsid w:val="00A83221"/>
    <w:rsid w:val="00AA0B8F"/>
    <w:rsid w:val="00AC1088"/>
    <w:rsid w:val="00AC2578"/>
    <w:rsid w:val="00AC28D2"/>
    <w:rsid w:val="00AC332D"/>
    <w:rsid w:val="00AC4654"/>
    <w:rsid w:val="00AC7D85"/>
    <w:rsid w:val="00AD2EEE"/>
    <w:rsid w:val="00AD5BAF"/>
    <w:rsid w:val="00AD79D8"/>
    <w:rsid w:val="00AD7F47"/>
    <w:rsid w:val="00AE5AA8"/>
    <w:rsid w:val="00AE672F"/>
    <w:rsid w:val="00AE6C19"/>
    <w:rsid w:val="00AF08D2"/>
    <w:rsid w:val="00B015B1"/>
    <w:rsid w:val="00B05760"/>
    <w:rsid w:val="00B06E87"/>
    <w:rsid w:val="00B104AE"/>
    <w:rsid w:val="00B129A6"/>
    <w:rsid w:val="00B16B26"/>
    <w:rsid w:val="00B1746A"/>
    <w:rsid w:val="00B17AF0"/>
    <w:rsid w:val="00B26103"/>
    <w:rsid w:val="00B33852"/>
    <w:rsid w:val="00B35EF1"/>
    <w:rsid w:val="00B361A0"/>
    <w:rsid w:val="00B424CD"/>
    <w:rsid w:val="00B43371"/>
    <w:rsid w:val="00B44A5B"/>
    <w:rsid w:val="00B46EB3"/>
    <w:rsid w:val="00B51992"/>
    <w:rsid w:val="00B56414"/>
    <w:rsid w:val="00B60992"/>
    <w:rsid w:val="00B66DDF"/>
    <w:rsid w:val="00B802A8"/>
    <w:rsid w:val="00B832BD"/>
    <w:rsid w:val="00B855C7"/>
    <w:rsid w:val="00B86A8B"/>
    <w:rsid w:val="00B870B2"/>
    <w:rsid w:val="00B87BFE"/>
    <w:rsid w:val="00BA05B7"/>
    <w:rsid w:val="00BA38EB"/>
    <w:rsid w:val="00BB384E"/>
    <w:rsid w:val="00BB3F57"/>
    <w:rsid w:val="00BB4EF8"/>
    <w:rsid w:val="00BB6F0B"/>
    <w:rsid w:val="00BB7FA8"/>
    <w:rsid w:val="00BC4BA7"/>
    <w:rsid w:val="00BC51A0"/>
    <w:rsid w:val="00BC76FA"/>
    <w:rsid w:val="00BD1089"/>
    <w:rsid w:val="00BD5790"/>
    <w:rsid w:val="00BD65D1"/>
    <w:rsid w:val="00BE0E0F"/>
    <w:rsid w:val="00BE3366"/>
    <w:rsid w:val="00BF20DF"/>
    <w:rsid w:val="00BF38FD"/>
    <w:rsid w:val="00BF3F33"/>
    <w:rsid w:val="00BF5108"/>
    <w:rsid w:val="00C001EC"/>
    <w:rsid w:val="00C0223D"/>
    <w:rsid w:val="00C07F4B"/>
    <w:rsid w:val="00C15E44"/>
    <w:rsid w:val="00C218C2"/>
    <w:rsid w:val="00C25B0F"/>
    <w:rsid w:val="00C3088F"/>
    <w:rsid w:val="00C315C5"/>
    <w:rsid w:val="00C337FD"/>
    <w:rsid w:val="00C344EF"/>
    <w:rsid w:val="00C3504D"/>
    <w:rsid w:val="00C35D36"/>
    <w:rsid w:val="00C37BA9"/>
    <w:rsid w:val="00C4045E"/>
    <w:rsid w:val="00C415F6"/>
    <w:rsid w:val="00C44D3E"/>
    <w:rsid w:val="00C45255"/>
    <w:rsid w:val="00C45E09"/>
    <w:rsid w:val="00C502E3"/>
    <w:rsid w:val="00C509BE"/>
    <w:rsid w:val="00C51F57"/>
    <w:rsid w:val="00C53B70"/>
    <w:rsid w:val="00C60AC3"/>
    <w:rsid w:val="00C70402"/>
    <w:rsid w:val="00C70776"/>
    <w:rsid w:val="00C71A90"/>
    <w:rsid w:val="00C71C38"/>
    <w:rsid w:val="00C73411"/>
    <w:rsid w:val="00C742CE"/>
    <w:rsid w:val="00C765ED"/>
    <w:rsid w:val="00C76B23"/>
    <w:rsid w:val="00C82B2F"/>
    <w:rsid w:val="00C87B3D"/>
    <w:rsid w:val="00C87CAC"/>
    <w:rsid w:val="00C90F49"/>
    <w:rsid w:val="00C92B3B"/>
    <w:rsid w:val="00C93205"/>
    <w:rsid w:val="00C9660C"/>
    <w:rsid w:val="00C97D0B"/>
    <w:rsid w:val="00C97DFE"/>
    <w:rsid w:val="00CA00C2"/>
    <w:rsid w:val="00CA296D"/>
    <w:rsid w:val="00CB0006"/>
    <w:rsid w:val="00CB01C4"/>
    <w:rsid w:val="00CB01E3"/>
    <w:rsid w:val="00CB4C6B"/>
    <w:rsid w:val="00CB5A6B"/>
    <w:rsid w:val="00CB72A8"/>
    <w:rsid w:val="00CC22A7"/>
    <w:rsid w:val="00CC263E"/>
    <w:rsid w:val="00CC3343"/>
    <w:rsid w:val="00CC3D40"/>
    <w:rsid w:val="00CC42A5"/>
    <w:rsid w:val="00CC4F99"/>
    <w:rsid w:val="00CC760D"/>
    <w:rsid w:val="00CD0A64"/>
    <w:rsid w:val="00CD3560"/>
    <w:rsid w:val="00CD3F8B"/>
    <w:rsid w:val="00CD685B"/>
    <w:rsid w:val="00CE07DB"/>
    <w:rsid w:val="00CE3373"/>
    <w:rsid w:val="00CE42CA"/>
    <w:rsid w:val="00CE4CE9"/>
    <w:rsid w:val="00CE53C0"/>
    <w:rsid w:val="00CE6718"/>
    <w:rsid w:val="00CE6CE1"/>
    <w:rsid w:val="00CF0323"/>
    <w:rsid w:val="00CF3374"/>
    <w:rsid w:val="00CF4E04"/>
    <w:rsid w:val="00CF5764"/>
    <w:rsid w:val="00D00D68"/>
    <w:rsid w:val="00D039CB"/>
    <w:rsid w:val="00D0446E"/>
    <w:rsid w:val="00D0533A"/>
    <w:rsid w:val="00D17670"/>
    <w:rsid w:val="00D227F8"/>
    <w:rsid w:val="00D27DA0"/>
    <w:rsid w:val="00D37413"/>
    <w:rsid w:val="00D37575"/>
    <w:rsid w:val="00D44B23"/>
    <w:rsid w:val="00D458B9"/>
    <w:rsid w:val="00D472D8"/>
    <w:rsid w:val="00D52887"/>
    <w:rsid w:val="00D5692C"/>
    <w:rsid w:val="00D613F4"/>
    <w:rsid w:val="00D61D88"/>
    <w:rsid w:val="00D636F6"/>
    <w:rsid w:val="00D63FD8"/>
    <w:rsid w:val="00D673DB"/>
    <w:rsid w:val="00D73EBD"/>
    <w:rsid w:val="00D76C08"/>
    <w:rsid w:val="00D76F5B"/>
    <w:rsid w:val="00D8146B"/>
    <w:rsid w:val="00D8207E"/>
    <w:rsid w:val="00D82568"/>
    <w:rsid w:val="00D826DA"/>
    <w:rsid w:val="00D84597"/>
    <w:rsid w:val="00D9058F"/>
    <w:rsid w:val="00D93296"/>
    <w:rsid w:val="00D95842"/>
    <w:rsid w:val="00D96FFC"/>
    <w:rsid w:val="00DA2773"/>
    <w:rsid w:val="00DA2907"/>
    <w:rsid w:val="00DA298E"/>
    <w:rsid w:val="00DA3D0E"/>
    <w:rsid w:val="00DA4586"/>
    <w:rsid w:val="00DB0CF8"/>
    <w:rsid w:val="00DB4303"/>
    <w:rsid w:val="00DC3684"/>
    <w:rsid w:val="00DC3E5F"/>
    <w:rsid w:val="00DC423E"/>
    <w:rsid w:val="00DD1C88"/>
    <w:rsid w:val="00DD6D44"/>
    <w:rsid w:val="00DE4A58"/>
    <w:rsid w:val="00DE4D84"/>
    <w:rsid w:val="00DE6DCF"/>
    <w:rsid w:val="00DF334C"/>
    <w:rsid w:val="00E01F89"/>
    <w:rsid w:val="00E02DD9"/>
    <w:rsid w:val="00E053FC"/>
    <w:rsid w:val="00E072EB"/>
    <w:rsid w:val="00E07EB0"/>
    <w:rsid w:val="00E10A4C"/>
    <w:rsid w:val="00E11CC8"/>
    <w:rsid w:val="00E12AD9"/>
    <w:rsid w:val="00E14B56"/>
    <w:rsid w:val="00E1619C"/>
    <w:rsid w:val="00E16771"/>
    <w:rsid w:val="00E26762"/>
    <w:rsid w:val="00E26F8A"/>
    <w:rsid w:val="00E27E35"/>
    <w:rsid w:val="00E32BD2"/>
    <w:rsid w:val="00E33E63"/>
    <w:rsid w:val="00E3613E"/>
    <w:rsid w:val="00E36C44"/>
    <w:rsid w:val="00E4260B"/>
    <w:rsid w:val="00E4301B"/>
    <w:rsid w:val="00E51731"/>
    <w:rsid w:val="00E55044"/>
    <w:rsid w:val="00E6039E"/>
    <w:rsid w:val="00E6230C"/>
    <w:rsid w:val="00E62D5E"/>
    <w:rsid w:val="00E73F3C"/>
    <w:rsid w:val="00E7423C"/>
    <w:rsid w:val="00E777C7"/>
    <w:rsid w:val="00E9063A"/>
    <w:rsid w:val="00E90A5A"/>
    <w:rsid w:val="00EA56B2"/>
    <w:rsid w:val="00EB16DC"/>
    <w:rsid w:val="00EB6991"/>
    <w:rsid w:val="00EC33F9"/>
    <w:rsid w:val="00EC5070"/>
    <w:rsid w:val="00EC5EFC"/>
    <w:rsid w:val="00ED0737"/>
    <w:rsid w:val="00ED684B"/>
    <w:rsid w:val="00ED6944"/>
    <w:rsid w:val="00ED703A"/>
    <w:rsid w:val="00ED75A5"/>
    <w:rsid w:val="00EE1077"/>
    <w:rsid w:val="00EE5B5A"/>
    <w:rsid w:val="00EF70C1"/>
    <w:rsid w:val="00F03913"/>
    <w:rsid w:val="00F05308"/>
    <w:rsid w:val="00F12078"/>
    <w:rsid w:val="00F12A8E"/>
    <w:rsid w:val="00F20B76"/>
    <w:rsid w:val="00F21208"/>
    <w:rsid w:val="00F23350"/>
    <w:rsid w:val="00F312BA"/>
    <w:rsid w:val="00F32CB6"/>
    <w:rsid w:val="00F330AF"/>
    <w:rsid w:val="00F41C7B"/>
    <w:rsid w:val="00F43AED"/>
    <w:rsid w:val="00F43B1F"/>
    <w:rsid w:val="00F50855"/>
    <w:rsid w:val="00F50950"/>
    <w:rsid w:val="00F51AE8"/>
    <w:rsid w:val="00F56EA9"/>
    <w:rsid w:val="00F5700D"/>
    <w:rsid w:val="00F619D0"/>
    <w:rsid w:val="00F65CBD"/>
    <w:rsid w:val="00F66A02"/>
    <w:rsid w:val="00F672F0"/>
    <w:rsid w:val="00F7272A"/>
    <w:rsid w:val="00F76F75"/>
    <w:rsid w:val="00F818E0"/>
    <w:rsid w:val="00F81E3D"/>
    <w:rsid w:val="00F84589"/>
    <w:rsid w:val="00F86578"/>
    <w:rsid w:val="00F90838"/>
    <w:rsid w:val="00F924AC"/>
    <w:rsid w:val="00F92D09"/>
    <w:rsid w:val="00F93EBC"/>
    <w:rsid w:val="00FA18C9"/>
    <w:rsid w:val="00FA4957"/>
    <w:rsid w:val="00FA5279"/>
    <w:rsid w:val="00FA5641"/>
    <w:rsid w:val="00FA7CFD"/>
    <w:rsid w:val="00FA7ECD"/>
    <w:rsid w:val="00FA7F77"/>
    <w:rsid w:val="00FB4CE2"/>
    <w:rsid w:val="00FC2E53"/>
    <w:rsid w:val="00FC6C03"/>
    <w:rsid w:val="00FD0F5F"/>
    <w:rsid w:val="00FD11AE"/>
    <w:rsid w:val="00FD19A1"/>
    <w:rsid w:val="00FE1169"/>
    <w:rsid w:val="00FE37B0"/>
    <w:rsid w:val="00FE400B"/>
    <w:rsid w:val="00FE5180"/>
    <w:rsid w:val="00FE5444"/>
    <w:rsid w:val="00FE65E7"/>
    <w:rsid w:val="00FE70C0"/>
    <w:rsid w:val="00FF1AF0"/>
    <w:rsid w:val="00FF45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F19"/>
    <w:rPr>
      <w:sz w:val="24"/>
      <w:szCs w:val="24"/>
    </w:rPr>
  </w:style>
  <w:style w:type="paragraph" w:styleId="Heading2">
    <w:name w:val="heading 2"/>
    <w:basedOn w:val="Normal"/>
    <w:next w:val="Normal"/>
    <w:link w:val="Heading2Char"/>
    <w:uiPriority w:val="9"/>
    <w:semiHidden/>
    <w:unhideWhenUsed/>
    <w:qFormat/>
    <w:rsid w:val="004753AE"/>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BD65D1"/>
    <w:pPr>
      <w:spacing w:before="100" w:beforeAutospacing="1" w:after="100" w:afterAutospacing="1"/>
      <w:outlineLvl w:val="2"/>
    </w:pPr>
    <w:rPr>
      <w:b/>
      <w:bCs/>
      <w:sz w:val="27"/>
      <w:szCs w:val="27"/>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5F14E0"/>
    <w:rPr>
      <w:rFonts w:ascii="Cambria" w:hAnsi="Cambria" w:cs="Cambria"/>
      <w:b/>
      <w:bCs/>
      <w:sz w:val="26"/>
      <w:szCs w:val="26"/>
    </w:rPr>
  </w:style>
  <w:style w:type="paragraph" w:styleId="BalloonText">
    <w:name w:val="Balloon Text"/>
    <w:basedOn w:val="Normal"/>
    <w:link w:val="BalloonTextChar"/>
    <w:semiHidden/>
    <w:rsid w:val="00E11CC8"/>
    <w:rPr>
      <w:rFonts w:ascii="Tahoma" w:hAnsi="Tahoma" w:cs="Tahoma"/>
      <w:sz w:val="16"/>
      <w:szCs w:val="16"/>
    </w:rPr>
  </w:style>
  <w:style w:type="character" w:customStyle="1" w:styleId="BalloonTextChar">
    <w:name w:val="Balloon Text Char"/>
    <w:basedOn w:val="DefaultParagraphFont"/>
    <w:link w:val="BalloonText"/>
    <w:semiHidden/>
    <w:rsid w:val="005F14E0"/>
    <w:rPr>
      <w:rFonts w:cs="Times New Roman"/>
      <w:sz w:val="2"/>
      <w:szCs w:val="2"/>
    </w:rPr>
  </w:style>
  <w:style w:type="paragraph" w:styleId="Header">
    <w:name w:val="header"/>
    <w:basedOn w:val="Normal"/>
    <w:link w:val="HeaderChar"/>
    <w:rsid w:val="00E11CC8"/>
    <w:pPr>
      <w:tabs>
        <w:tab w:val="center" w:pos="4153"/>
        <w:tab w:val="right" w:pos="8306"/>
      </w:tabs>
    </w:pPr>
  </w:style>
  <w:style w:type="character" w:customStyle="1" w:styleId="HeaderChar">
    <w:name w:val="Header Char"/>
    <w:basedOn w:val="DefaultParagraphFont"/>
    <w:link w:val="Header"/>
    <w:semiHidden/>
    <w:rsid w:val="005F14E0"/>
    <w:rPr>
      <w:rFonts w:cs="Times New Roman"/>
      <w:sz w:val="24"/>
      <w:szCs w:val="24"/>
    </w:rPr>
  </w:style>
  <w:style w:type="paragraph" w:styleId="Footer">
    <w:name w:val="footer"/>
    <w:basedOn w:val="Normal"/>
    <w:link w:val="FooterChar"/>
    <w:uiPriority w:val="99"/>
    <w:rsid w:val="00E11CC8"/>
    <w:pPr>
      <w:tabs>
        <w:tab w:val="center" w:pos="4153"/>
        <w:tab w:val="right" w:pos="8306"/>
      </w:tabs>
    </w:pPr>
  </w:style>
  <w:style w:type="character" w:customStyle="1" w:styleId="FooterChar">
    <w:name w:val="Footer Char"/>
    <w:basedOn w:val="DefaultParagraphFont"/>
    <w:link w:val="Footer"/>
    <w:uiPriority w:val="99"/>
    <w:rsid w:val="005F14E0"/>
    <w:rPr>
      <w:rFonts w:cs="Times New Roman"/>
      <w:sz w:val="24"/>
      <w:szCs w:val="24"/>
    </w:rPr>
  </w:style>
  <w:style w:type="character" w:styleId="PageNumber">
    <w:name w:val="page number"/>
    <w:basedOn w:val="DefaultParagraphFont"/>
    <w:rsid w:val="00065AB9"/>
    <w:rPr>
      <w:rFonts w:cs="Times New Roman"/>
    </w:rPr>
  </w:style>
  <w:style w:type="character" w:styleId="CommentReference">
    <w:name w:val="annotation reference"/>
    <w:basedOn w:val="DefaultParagraphFont"/>
    <w:semiHidden/>
    <w:rsid w:val="00CD685B"/>
    <w:rPr>
      <w:rFonts w:cs="Times New Roman"/>
      <w:sz w:val="16"/>
      <w:szCs w:val="16"/>
    </w:rPr>
  </w:style>
  <w:style w:type="paragraph" w:styleId="CommentText">
    <w:name w:val="annotation text"/>
    <w:basedOn w:val="Normal"/>
    <w:link w:val="CommentTextChar"/>
    <w:semiHidden/>
    <w:rsid w:val="00CD685B"/>
    <w:rPr>
      <w:sz w:val="20"/>
      <w:szCs w:val="20"/>
    </w:rPr>
  </w:style>
  <w:style w:type="character" w:customStyle="1" w:styleId="CommentTextChar">
    <w:name w:val="Comment Text Char"/>
    <w:basedOn w:val="DefaultParagraphFont"/>
    <w:link w:val="CommentText"/>
    <w:semiHidden/>
    <w:rsid w:val="005F14E0"/>
    <w:rPr>
      <w:rFonts w:cs="Times New Roman"/>
      <w:sz w:val="20"/>
      <w:szCs w:val="20"/>
    </w:rPr>
  </w:style>
  <w:style w:type="paragraph" w:styleId="CommentSubject">
    <w:name w:val="annotation subject"/>
    <w:basedOn w:val="CommentText"/>
    <w:next w:val="CommentText"/>
    <w:link w:val="CommentSubjectChar"/>
    <w:semiHidden/>
    <w:rsid w:val="00CD685B"/>
    <w:rPr>
      <w:b/>
      <w:bCs/>
    </w:rPr>
  </w:style>
  <w:style w:type="character" w:customStyle="1" w:styleId="CommentSubjectChar">
    <w:name w:val="Comment Subject Char"/>
    <w:basedOn w:val="CommentTextChar"/>
    <w:link w:val="CommentSubject"/>
    <w:semiHidden/>
    <w:rsid w:val="005F14E0"/>
    <w:rPr>
      <w:rFonts w:cs="Times New Roman"/>
      <w:b/>
      <w:bCs/>
      <w:sz w:val="20"/>
      <w:szCs w:val="20"/>
    </w:rPr>
  </w:style>
  <w:style w:type="paragraph" w:styleId="NormalWeb">
    <w:name w:val="Normal (Web)"/>
    <w:basedOn w:val="Normal"/>
    <w:rsid w:val="00C73411"/>
    <w:pPr>
      <w:spacing w:before="100" w:beforeAutospacing="1" w:after="100" w:afterAutospacing="1"/>
    </w:pPr>
    <w:rPr>
      <w:lang w:val="en-GB" w:eastAsia="en-GB"/>
    </w:rPr>
  </w:style>
  <w:style w:type="paragraph" w:styleId="ListParagraph">
    <w:name w:val="List Paragraph"/>
    <w:basedOn w:val="Normal"/>
    <w:uiPriority w:val="99"/>
    <w:qFormat/>
    <w:rsid w:val="00326980"/>
    <w:pPr>
      <w:spacing w:after="200" w:line="276" w:lineRule="auto"/>
      <w:ind w:left="720"/>
      <w:contextualSpacing/>
    </w:pPr>
    <w:rPr>
      <w:rFonts w:ascii="Calibri" w:hAnsi="Calibri" w:cs="Calibri"/>
      <w:sz w:val="22"/>
      <w:szCs w:val="22"/>
      <w:lang w:val="en-CA"/>
    </w:rPr>
  </w:style>
  <w:style w:type="paragraph" w:styleId="Date">
    <w:name w:val="Date"/>
    <w:basedOn w:val="Normal"/>
    <w:next w:val="Normal"/>
    <w:link w:val="DateChar"/>
    <w:rsid w:val="000D66E7"/>
  </w:style>
  <w:style w:type="character" w:customStyle="1" w:styleId="DateChar">
    <w:name w:val="Date Char"/>
    <w:basedOn w:val="DefaultParagraphFont"/>
    <w:link w:val="Date"/>
    <w:semiHidden/>
    <w:rsid w:val="005F14E0"/>
    <w:rPr>
      <w:rFonts w:cs="Times New Roman"/>
      <w:sz w:val="24"/>
      <w:szCs w:val="24"/>
    </w:rPr>
  </w:style>
  <w:style w:type="paragraph" w:customStyle="1" w:styleId="CarattereCarattere">
    <w:name w:val="Carattere Carattere"/>
    <w:basedOn w:val="Normal"/>
    <w:rsid w:val="00B86A8B"/>
    <w:pPr>
      <w:spacing w:after="160" w:line="240" w:lineRule="exact"/>
    </w:pPr>
    <w:rPr>
      <w:rFonts w:ascii="Tahoma" w:hAnsi="Tahoma" w:cs="Tahoma"/>
      <w:sz w:val="20"/>
      <w:szCs w:val="20"/>
    </w:rPr>
  </w:style>
  <w:style w:type="character" w:styleId="Strong">
    <w:name w:val="Strong"/>
    <w:basedOn w:val="DefaultParagraphFont"/>
    <w:qFormat/>
    <w:rsid w:val="003C235C"/>
    <w:rPr>
      <w:rFonts w:cs="Times New Roman"/>
      <w:b/>
      <w:bCs/>
    </w:rPr>
  </w:style>
  <w:style w:type="character" w:styleId="Hyperlink">
    <w:name w:val="Hyperlink"/>
    <w:basedOn w:val="DefaultParagraphFont"/>
    <w:rsid w:val="00BD65D1"/>
    <w:rPr>
      <w:rFonts w:cs="Times New Roman"/>
      <w:color w:val="0000FF"/>
      <w:u w:val="single"/>
    </w:rPr>
  </w:style>
  <w:style w:type="character" w:styleId="Emphasis">
    <w:name w:val="Emphasis"/>
    <w:basedOn w:val="DefaultParagraphFont"/>
    <w:qFormat/>
    <w:rsid w:val="00BD65D1"/>
    <w:rPr>
      <w:rFonts w:cs="Times New Roman"/>
      <w:i/>
      <w:iCs/>
    </w:rPr>
  </w:style>
  <w:style w:type="paragraph" w:styleId="BodyTextIndent">
    <w:name w:val="Body Text Indent"/>
    <w:basedOn w:val="Normal"/>
    <w:link w:val="BodyTextIndentChar"/>
    <w:rsid w:val="00802EB3"/>
    <w:pPr>
      <w:ind w:left="2880" w:hanging="2880"/>
    </w:pPr>
    <w:rPr>
      <w:b/>
      <w:lang w:val="en-GB" w:eastAsia="it-IT"/>
    </w:rPr>
  </w:style>
  <w:style w:type="character" w:customStyle="1" w:styleId="BodyTextIndentChar">
    <w:name w:val="Body Text Indent Char"/>
    <w:basedOn w:val="DefaultParagraphFont"/>
    <w:link w:val="BodyTextIndent"/>
    <w:rsid w:val="00802EB3"/>
    <w:rPr>
      <w:b/>
      <w:sz w:val="24"/>
      <w:szCs w:val="24"/>
      <w:lang w:val="en-GB" w:eastAsia="it-IT"/>
    </w:rPr>
  </w:style>
  <w:style w:type="character" w:customStyle="1" w:styleId="hps">
    <w:name w:val="hps"/>
    <w:basedOn w:val="DefaultParagraphFont"/>
    <w:rsid w:val="00802EB3"/>
  </w:style>
  <w:style w:type="paragraph" w:customStyle="1" w:styleId="CharCharCharZchnZchn">
    <w:name w:val="Char Char Char Zchn Zchn"/>
    <w:basedOn w:val="Normal"/>
    <w:rsid w:val="00B87BFE"/>
    <w:pPr>
      <w:spacing w:after="160" w:line="240" w:lineRule="exact"/>
    </w:pPr>
    <w:rPr>
      <w:rFonts w:ascii="Tahoma" w:hAnsi="Tahoma"/>
      <w:sz w:val="20"/>
      <w:szCs w:val="20"/>
    </w:rPr>
  </w:style>
  <w:style w:type="character" w:customStyle="1" w:styleId="Heading2Char">
    <w:name w:val="Heading 2 Char"/>
    <w:basedOn w:val="DefaultParagraphFont"/>
    <w:link w:val="Heading2"/>
    <w:uiPriority w:val="9"/>
    <w:semiHidden/>
    <w:rsid w:val="004753AE"/>
    <w:rPr>
      <w:rFonts w:asciiTheme="majorHAnsi" w:eastAsiaTheme="majorEastAsia" w:hAnsiTheme="majorHAnsi" w:cstheme="majorBidi"/>
      <w:b/>
      <w:bCs/>
      <w:i/>
      <w:iCs/>
      <w:sz w:val="28"/>
      <w:szCs w:val="28"/>
    </w:rPr>
  </w:style>
  <w:style w:type="paragraph" w:customStyle="1" w:styleId="Default">
    <w:name w:val="Default"/>
    <w:rsid w:val="00625744"/>
    <w:pPr>
      <w:autoSpaceDE w:val="0"/>
      <w:autoSpaceDN w:val="0"/>
      <w:adjustRightInd w:val="0"/>
    </w:pPr>
    <w:rPr>
      <w:rFonts w:ascii="Arial" w:eastAsiaTheme="minorHAnsi" w:hAnsi="Arial" w:cs="Arial"/>
      <w:color w:val="000000"/>
      <w:sz w:val="24"/>
      <w:szCs w:val="24"/>
    </w:rPr>
  </w:style>
  <w:style w:type="table" w:styleId="TableGrid">
    <w:name w:val="Table Grid"/>
    <w:basedOn w:val="TableNormal"/>
    <w:uiPriority w:val="39"/>
    <w:rsid w:val="0062574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uiPriority w:val="99"/>
    <w:rsid w:val="002908B6"/>
    <w:rPr>
      <w:rFonts w:eastAsiaTheme="minorEastAsia"/>
      <w:lang w:eastAsia="zh-CN"/>
    </w:rPr>
  </w:style>
  <w:style w:type="paragraph" w:customStyle="1" w:styleId="Standard1">
    <w:name w:val="Standard1"/>
    <w:rsid w:val="004B2F65"/>
    <w:pPr>
      <w:suppressAutoHyphens/>
      <w:autoSpaceDN w:val="0"/>
    </w:pPr>
    <w:rPr>
      <w:kern w:val="3"/>
      <w:sz w:val="24"/>
      <w:szCs w:val="24"/>
    </w:rPr>
  </w:style>
  <w:style w:type="paragraph" w:customStyle="1" w:styleId="Standard">
    <w:name w:val="Standard"/>
    <w:rsid w:val="0096449C"/>
    <w:pPr>
      <w:suppressAutoHyphens/>
      <w:autoSpaceDN w:val="0"/>
    </w:pPr>
    <w:rPr>
      <w:kern w:val="3"/>
      <w:sz w:val="24"/>
      <w:szCs w:val="24"/>
    </w:rPr>
  </w:style>
  <w:style w:type="paragraph" w:styleId="NoSpacing">
    <w:name w:val="No Spacing"/>
    <w:uiPriority w:val="1"/>
    <w:qFormat/>
    <w:rsid w:val="00C35D36"/>
    <w:rPr>
      <w:sz w:val="24"/>
      <w:szCs w:val="24"/>
      <w:lang w:val="en-GB" w:eastAsia="en-GB"/>
    </w:rPr>
  </w:style>
  <w:style w:type="paragraph" w:customStyle="1" w:styleId="CharCharChar">
    <w:name w:val="Char Char Char"/>
    <w:basedOn w:val="Normal"/>
    <w:rsid w:val="001E3AAE"/>
    <w:pPr>
      <w:spacing w:after="160" w:line="240" w:lineRule="exact"/>
    </w:pPr>
    <w:rPr>
      <w:rFonts w:ascii="Tahoma" w:hAnsi="Tahoma"/>
      <w:sz w:val="20"/>
      <w:szCs w:val="20"/>
    </w:rPr>
  </w:style>
  <w:style w:type="paragraph" w:styleId="Revision">
    <w:name w:val="Revision"/>
    <w:hidden/>
    <w:uiPriority w:val="99"/>
    <w:semiHidden/>
    <w:rsid w:val="003B284D"/>
    <w:rPr>
      <w:sz w:val="24"/>
      <w:szCs w:val="24"/>
    </w:rPr>
  </w:style>
  <w:style w:type="paragraph" w:customStyle="1" w:styleId="ListParagraph1">
    <w:name w:val="List Paragraph1"/>
    <w:basedOn w:val="Normal"/>
    <w:rsid w:val="006039E1"/>
    <w:pPr>
      <w:suppressAutoHyphens/>
      <w:spacing w:after="200" w:line="276" w:lineRule="auto"/>
      <w:ind w:left="720"/>
      <w:contextualSpacing/>
    </w:pPr>
    <w:rPr>
      <w:rFonts w:ascii="Calibri" w:hAnsi="Calibri" w:cs="Calibri"/>
      <w:color w:val="00000A"/>
      <w:kern w:val="1"/>
      <w:sz w:val="22"/>
      <w:szCs w:val="22"/>
      <w:lang w:val="en-CA"/>
    </w:rPr>
  </w:style>
  <w:style w:type="paragraph" w:customStyle="1" w:styleId="NoSpacing1">
    <w:name w:val="No Spacing1"/>
    <w:rsid w:val="006039E1"/>
    <w:pPr>
      <w:suppressAutoHyphens/>
    </w:pPr>
    <w:rPr>
      <w:color w:val="00000A"/>
      <w:kern w:val="1"/>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F19"/>
    <w:rPr>
      <w:sz w:val="24"/>
      <w:szCs w:val="24"/>
    </w:rPr>
  </w:style>
  <w:style w:type="paragraph" w:styleId="Heading2">
    <w:name w:val="heading 2"/>
    <w:basedOn w:val="Normal"/>
    <w:next w:val="Normal"/>
    <w:link w:val="Heading2Char"/>
    <w:uiPriority w:val="9"/>
    <w:semiHidden/>
    <w:unhideWhenUsed/>
    <w:qFormat/>
    <w:rsid w:val="004753AE"/>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BD65D1"/>
    <w:pPr>
      <w:spacing w:before="100" w:beforeAutospacing="1" w:after="100" w:afterAutospacing="1"/>
      <w:outlineLvl w:val="2"/>
    </w:pPr>
    <w:rPr>
      <w:b/>
      <w:bCs/>
      <w:sz w:val="27"/>
      <w:szCs w:val="27"/>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5F14E0"/>
    <w:rPr>
      <w:rFonts w:ascii="Cambria" w:hAnsi="Cambria" w:cs="Cambria"/>
      <w:b/>
      <w:bCs/>
      <w:sz w:val="26"/>
      <w:szCs w:val="26"/>
    </w:rPr>
  </w:style>
  <w:style w:type="paragraph" w:styleId="BalloonText">
    <w:name w:val="Balloon Text"/>
    <w:basedOn w:val="Normal"/>
    <w:link w:val="BalloonTextChar"/>
    <w:semiHidden/>
    <w:rsid w:val="00E11CC8"/>
    <w:rPr>
      <w:rFonts w:ascii="Tahoma" w:hAnsi="Tahoma" w:cs="Tahoma"/>
      <w:sz w:val="16"/>
      <w:szCs w:val="16"/>
    </w:rPr>
  </w:style>
  <w:style w:type="character" w:customStyle="1" w:styleId="BalloonTextChar">
    <w:name w:val="Balloon Text Char"/>
    <w:basedOn w:val="DefaultParagraphFont"/>
    <w:link w:val="BalloonText"/>
    <w:semiHidden/>
    <w:rsid w:val="005F14E0"/>
    <w:rPr>
      <w:rFonts w:cs="Times New Roman"/>
      <w:sz w:val="2"/>
      <w:szCs w:val="2"/>
    </w:rPr>
  </w:style>
  <w:style w:type="paragraph" w:styleId="Header">
    <w:name w:val="header"/>
    <w:basedOn w:val="Normal"/>
    <w:link w:val="HeaderChar"/>
    <w:rsid w:val="00E11CC8"/>
    <w:pPr>
      <w:tabs>
        <w:tab w:val="center" w:pos="4153"/>
        <w:tab w:val="right" w:pos="8306"/>
      </w:tabs>
    </w:pPr>
  </w:style>
  <w:style w:type="character" w:customStyle="1" w:styleId="HeaderChar">
    <w:name w:val="Header Char"/>
    <w:basedOn w:val="DefaultParagraphFont"/>
    <w:link w:val="Header"/>
    <w:semiHidden/>
    <w:rsid w:val="005F14E0"/>
    <w:rPr>
      <w:rFonts w:cs="Times New Roman"/>
      <w:sz w:val="24"/>
      <w:szCs w:val="24"/>
    </w:rPr>
  </w:style>
  <w:style w:type="paragraph" w:styleId="Footer">
    <w:name w:val="footer"/>
    <w:basedOn w:val="Normal"/>
    <w:link w:val="FooterChar"/>
    <w:uiPriority w:val="99"/>
    <w:rsid w:val="00E11CC8"/>
    <w:pPr>
      <w:tabs>
        <w:tab w:val="center" w:pos="4153"/>
        <w:tab w:val="right" w:pos="8306"/>
      </w:tabs>
    </w:pPr>
  </w:style>
  <w:style w:type="character" w:customStyle="1" w:styleId="FooterChar">
    <w:name w:val="Footer Char"/>
    <w:basedOn w:val="DefaultParagraphFont"/>
    <w:link w:val="Footer"/>
    <w:uiPriority w:val="99"/>
    <w:rsid w:val="005F14E0"/>
    <w:rPr>
      <w:rFonts w:cs="Times New Roman"/>
      <w:sz w:val="24"/>
      <w:szCs w:val="24"/>
    </w:rPr>
  </w:style>
  <w:style w:type="character" w:styleId="PageNumber">
    <w:name w:val="page number"/>
    <w:basedOn w:val="DefaultParagraphFont"/>
    <w:rsid w:val="00065AB9"/>
    <w:rPr>
      <w:rFonts w:cs="Times New Roman"/>
    </w:rPr>
  </w:style>
  <w:style w:type="character" w:styleId="CommentReference">
    <w:name w:val="annotation reference"/>
    <w:basedOn w:val="DefaultParagraphFont"/>
    <w:semiHidden/>
    <w:rsid w:val="00CD685B"/>
    <w:rPr>
      <w:rFonts w:cs="Times New Roman"/>
      <w:sz w:val="16"/>
      <w:szCs w:val="16"/>
    </w:rPr>
  </w:style>
  <w:style w:type="paragraph" w:styleId="CommentText">
    <w:name w:val="annotation text"/>
    <w:basedOn w:val="Normal"/>
    <w:link w:val="CommentTextChar"/>
    <w:semiHidden/>
    <w:rsid w:val="00CD685B"/>
    <w:rPr>
      <w:sz w:val="20"/>
      <w:szCs w:val="20"/>
    </w:rPr>
  </w:style>
  <w:style w:type="character" w:customStyle="1" w:styleId="CommentTextChar">
    <w:name w:val="Comment Text Char"/>
    <w:basedOn w:val="DefaultParagraphFont"/>
    <w:link w:val="CommentText"/>
    <w:semiHidden/>
    <w:rsid w:val="005F14E0"/>
    <w:rPr>
      <w:rFonts w:cs="Times New Roman"/>
      <w:sz w:val="20"/>
      <w:szCs w:val="20"/>
    </w:rPr>
  </w:style>
  <w:style w:type="paragraph" w:styleId="CommentSubject">
    <w:name w:val="annotation subject"/>
    <w:basedOn w:val="CommentText"/>
    <w:next w:val="CommentText"/>
    <w:link w:val="CommentSubjectChar"/>
    <w:semiHidden/>
    <w:rsid w:val="00CD685B"/>
    <w:rPr>
      <w:b/>
      <w:bCs/>
    </w:rPr>
  </w:style>
  <w:style w:type="character" w:customStyle="1" w:styleId="CommentSubjectChar">
    <w:name w:val="Comment Subject Char"/>
    <w:basedOn w:val="CommentTextChar"/>
    <w:link w:val="CommentSubject"/>
    <w:semiHidden/>
    <w:rsid w:val="005F14E0"/>
    <w:rPr>
      <w:rFonts w:cs="Times New Roman"/>
      <w:b/>
      <w:bCs/>
      <w:sz w:val="20"/>
      <w:szCs w:val="20"/>
    </w:rPr>
  </w:style>
  <w:style w:type="paragraph" w:styleId="NormalWeb">
    <w:name w:val="Normal (Web)"/>
    <w:basedOn w:val="Normal"/>
    <w:rsid w:val="00C73411"/>
    <w:pPr>
      <w:spacing w:before="100" w:beforeAutospacing="1" w:after="100" w:afterAutospacing="1"/>
    </w:pPr>
    <w:rPr>
      <w:lang w:val="en-GB" w:eastAsia="en-GB"/>
    </w:rPr>
  </w:style>
  <w:style w:type="paragraph" w:styleId="ListParagraph">
    <w:name w:val="List Paragraph"/>
    <w:basedOn w:val="Normal"/>
    <w:uiPriority w:val="99"/>
    <w:qFormat/>
    <w:rsid w:val="00326980"/>
    <w:pPr>
      <w:spacing w:after="200" w:line="276" w:lineRule="auto"/>
      <w:ind w:left="720"/>
      <w:contextualSpacing/>
    </w:pPr>
    <w:rPr>
      <w:rFonts w:ascii="Calibri" w:hAnsi="Calibri" w:cs="Calibri"/>
      <w:sz w:val="22"/>
      <w:szCs w:val="22"/>
      <w:lang w:val="en-CA"/>
    </w:rPr>
  </w:style>
  <w:style w:type="paragraph" w:styleId="Date">
    <w:name w:val="Date"/>
    <w:basedOn w:val="Normal"/>
    <w:next w:val="Normal"/>
    <w:link w:val="DateChar"/>
    <w:rsid w:val="000D66E7"/>
  </w:style>
  <w:style w:type="character" w:customStyle="1" w:styleId="DateChar">
    <w:name w:val="Date Char"/>
    <w:basedOn w:val="DefaultParagraphFont"/>
    <w:link w:val="Date"/>
    <w:semiHidden/>
    <w:rsid w:val="005F14E0"/>
    <w:rPr>
      <w:rFonts w:cs="Times New Roman"/>
      <w:sz w:val="24"/>
      <w:szCs w:val="24"/>
    </w:rPr>
  </w:style>
  <w:style w:type="paragraph" w:customStyle="1" w:styleId="CarattereCarattere">
    <w:name w:val="Carattere Carattere"/>
    <w:basedOn w:val="Normal"/>
    <w:rsid w:val="00B86A8B"/>
    <w:pPr>
      <w:spacing w:after="160" w:line="240" w:lineRule="exact"/>
    </w:pPr>
    <w:rPr>
      <w:rFonts w:ascii="Tahoma" w:hAnsi="Tahoma" w:cs="Tahoma"/>
      <w:sz w:val="20"/>
      <w:szCs w:val="20"/>
    </w:rPr>
  </w:style>
  <w:style w:type="character" w:styleId="Strong">
    <w:name w:val="Strong"/>
    <w:basedOn w:val="DefaultParagraphFont"/>
    <w:qFormat/>
    <w:rsid w:val="003C235C"/>
    <w:rPr>
      <w:rFonts w:cs="Times New Roman"/>
      <w:b/>
      <w:bCs/>
    </w:rPr>
  </w:style>
  <w:style w:type="character" w:styleId="Hyperlink">
    <w:name w:val="Hyperlink"/>
    <w:basedOn w:val="DefaultParagraphFont"/>
    <w:rsid w:val="00BD65D1"/>
    <w:rPr>
      <w:rFonts w:cs="Times New Roman"/>
      <w:color w:val="0000FF"/>
      <w:u w:val="single"/>
    </w:rPr>
  </w:style>
  <w:style w:type="character" w:styleId="Emphasis">
    <w:name w:val="Emphasis"/>
    <w:basedOn w:val="DefaultParagraphFont"/>
    <w:qFormat/>
    <w:rsid w:val="00BD65D1"/>
    <w:rPr>
      <w:rFonts w:cs="Times New Roman"/>
      <w:i/>
      <w:iCs/>
    </w:rPr>
  </w:style>
  <w:style w:type="paragraph" w:styleId="BodyTextIndent">
    <w:name w:val="Body Text Indent"/>
    <w:basedOn w:val="Normal"/>
    <w:link w:val="BodyTextIndentChar"/>
    <w:rsid w:val="00802EB3"/>
    <w:pPr>
      <w:ind w:left="2880" w:hanging="2880"/>
    </w:pPr>
    <w:rPr>
      <w:b/>
      <w:lang w:val="en-GB" w:eastAsia="it-IT"/>
    </w:rPr>
  </w:style>
  <w:style w:type="character" w:customStyle="1" w:styleId="BodyTextIndentChar">
    <w:name w:val="Body Text Indent Char"/>
    <w:basedOn w:val="DefaultParagraphFont"/>
    <w:link w:val="BodyTextIndent"/>
    <w:rsid w:val="00802EB3"/>
    <w:rPr>
      <w:b/>
      <w:sz w:val="24"/>
      <w:szCs w:val="24"/>
      <w:lang w:val="en-GB" w:eastAsia="it-IT"/>
    </w:rPr>
  </w:style>
  <w:style w:type="character" w:customStyle="1" w:styleId="hps">
    <w:name w:val="hps"/>
    <w:basedOn w:val="DefaultParagraphFont"/>
    <w:rsid w:val="00802EB3"/>
  </w:style>
  <w:style w:type="paragraph" w:customStyle="1" w:styleId="CharCharCharZchnZchn">
    <w:name w:val="Char Char Char Zchn Zchn"/>
    <w:basedOn w:val="Normal"/>
    <w:rsid w:val="00B87BFE"/>
    <w:pPr>
      <w:spacing w:after="160" w:line="240" w:lineRule="exact"/>
    </w:pPr>
    <w:rPr>
      <w:rFonts w:ascii="Tahoma" w:hAnsi="Tahoma"/>
      <w:sz w:val="20"/>
      <w:szCs w:val="20"/>
    </w:rPr>
  </w:style>
  <w:style w:type="character" w:customStyle="1" w:styleId="Heading2Char">
    <w:name w:val="Heading 2 Char"/>
    <w:basedOn w:val="DefaultParagraphFont"/>
    <w:link w:val="Heading2"/>
    <w:uiPriority w:val="9"/>
    <w:semiHidden/>
    <w:rsid w:val="004753AE"/>
    <w:rPr>
      <w:rFonts w:asciiTheme="majorHAnsi" w:eastAsiaTheme="majorEastAsia" w:hAnsiTheme="majorHAnsi" w:cstheme="majorBidi"/>
      <w:b/>
      <w:bCs/>
      <w:i/>
      <w:iCs/>
      <w:sz w:val="28"/>
      <w:szCs w:val="28"/>
    </w:rPr>
  </w:style>
  <w:style w:type="paragraph" w:customStyle="1" w:styleId="Default">
    <w:name w:val="Default"/>
    <w:rsid w:val="00625744"/>
    <w:pPr>
      <w:autoSpaceDE w:val="0"/>
      <w:autoSpaceDN w:val="0"/>
      <w:adjustRightInd w:val="0"/>
    </w:pPr>
    <w:rPr>
      <w:rFonts w:ascii="Arial" w:eastAsiaTheme="minorHAnsi" w:hAnsi="Arial" w:cs="Arial"/>
      <w:color w:val="000000"/>
      <w:sz w:val="24"/>
      <w:szCs w:val="24"/>
    </w:rPr>
  </w:style>
  <w:style w:type="table" w:styleId="TableGrid">
    <w:name w:val="Table Grid"/>
    <w:basedOn w:val="TableNormal"/>
    <w:uiPriority w:val="39"/>
    <w:rsid w:val="0062574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uiPriority w:val="99"/>
    <w:rsid w:val="002908B6"/>
    <w:rPr>
      <w:rFonts w:eastAsiaTheme="minorEastAsia"/>
      <w:lang w:eastAsia="zh-CN"/>
    </w:rPr>
  </w:style>
  <w:style w:type="paragraph" w:customStyle="1" w:styleId="Standard1">
    <w:name w:val="Standard1"/>
    <w:rsid w:val="004B2F65"/>
    <w:pPr>
      <w:suppressAutoHyphens/>
      <w:autoSpaceDN w:val="0"/>
    </w:pPr>
    <w:rPr>
      <w:kern w:val="3"/>
      <w:sz w:val="24"/>
      <w:szCs w:val="24"/>
    </w:rPr>
  </w:style>
  <w:style w:type="paragraph" w:customStyle="1" w:styleId="Standard">
    <w:name w:val="Standard"/>
    <w:rsid w:val="0096449C"/>
    <w:pPr>
      <w:suppressAutoHyphens/>
      <w:autoSpaceDN w:val="0"/>
    </w:pPr>
    <w:rPr>
      <w:kern w:val="3"/>
      <w:sz w:val="24"/>
      <w:szCs w:val="24"/>
    </w:rPr>
  </w:style>
  <w:style w:type="paragraph" w:styleId="NoSpacing">
    <w:name w:val="No Spacing"/>
    <w:uiPriority w:val="1"/>
    <w:qFormat/>
    <w:rsid w:val="00C35D36"/>
    <w:rPr>
      <w:sz w:val="24"/>
      <w:szCs w:val="24"/>
      <w:lang w:val="en-GB" w:eastAsia="en-GB"/>
    </w:rPr>
  </w:style>
  <w:style w:type="paragraph" w:customStyle="1" w:styleId="CharCharChar">
    <w:name w:val="Char Char Char"/>
    <w:basedOn w:val="Normal"/>
    <w:rsid w:val="001E3AAE"/>
    <w:pPr>
      <w:spacing w:after="160" w:line="240" w:lineRule="exact"/>
    </w:pPr>
    <w:rPr>
      <w:rFonts w:ascii="Tahoma" w:hAnsi="Tahoma"/>
      <w:sz w:val="20"/>
      <w:szCs w:val="20"/>
    </w:rPr>
  </w:style>
  <w:style w:type="paragraph" w:styleId="Revision">
    <w:name w:val="Revision"/>
    <w:hidden/>
    <w:uiPriority w:val="99"/>
    <w:semiHidden/>
    <w:rsid w:val="003B284D"/>
    <w:rPr>
      <w:sz w:val="24"/>
      <w:szCs w:val="24"/>
    </w:rPr>
  </w:style>
  <w:style w:type="paragraph" w:customStyle="1" w:styleId="ListParagraph1">
    <w:name w:val="List Paragraph1"/>
    <w:basedOn w:val="Normal"/>
    <w:rsid w:val="006039E1"/>
    <w:pPr>
      <w:suppressAutoHyphens/>
      <w:spacing w:after="200" w:line="276" w:lineRule="auto"/>
      <w:ind w:left="720"/>
      <w:contextualSpacing/>
    </w:pPr>
    <w:rPr>
      <w:rFonts w:ascii="Calibri" w:hAnsi="Calibri" w:cs="Calibri"/>
      <w:color w:val="00000A"/>
      <w:kern w:val="1"/>
      <w:sz w:val="22"/>
      <w:szCs w:val="22"/>
      <w:lang w:val="en-CA"/>
    </w:rPr>
  </w:style>
  <w:style w:type="paragraph" w:customStyle="1" w:styleId="NoSpacing1">
    <w:name w:val="No Spacing1"/>
    <w:rsid w:val="006039E1"/>
    <w:pPr>
      <w:suppressAutoHyphens/>
    </w:pPr>
    <w:rPr>
      <w:color w:val="00000A"/>
      <w:kern w:val="1"/>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248655506">
      <w:bodyDiv w:val="1"/>
      <w:marLeft w:val="0"/>
      <w:marRight w:val="0"/>
      <w:marTop w:val="0"/>
      <w:marBottom w:val="0"/>
      <w:divBdr>
        <w:top w:val="none" w:sz="0" w:space="0" w:color="auto"/>
        <w:left w:val="none" w:sz="0" w:space="0" w:color="auto"/>
        <w:bottom w:val="none" w:sz="0" w:space="0" w:color="auto"/>
        <w:right w:val="none" w:sz="0" w:space="0" w:color="auto"/>
      </w:divBdr>
    </w:div>
    <w:div w:id="270281375">
      <w:bodyDiv w:val="1"/>
      <w:marLeft w:val="0"/>
      <w:marRight w:val="0"/>
      <w:marTop w:val="0"/>
      <w:marBottom w:val="0"/>
      <w:divBdr>
        <w:top w:val="none" w:sz="0" w:space="0" w:color="auto"/>
        <w:left w:val="none" w:sz="0" w:space="0" w:color="auto"/>
        <w:bottom w:val="none" w:sz="0" w:space="0" w:color="auto"/>
        <w:right w:val="none" w:sz="0" w:space="0" w:color="auto"/>
      </w:divBdr>
    </w:div>
    <w:div w:id="433405782">
      <w:bodyDiv w:val="1"/>
      <w:marLeft w:val="0"/>
      <w:marRight w:val="0"/>
      <w:marTop w:val="0"/>
      <w:marBottom w:val="0"/>
      <w:divBdr>
        <w:top w:val="none" w:sz="0" w:space="0" w:color="auto"/>
        <w:left w:val="none" w:sz="0" w:space="0" w:color="auto"/>
        <w:bottom w:val="none" w:sz="0" w:space="0" w:color="auto"/>
        <w:right w:val="none" w:sz="0" w:space="0" w:color="auto"/>
      </w:divBdr>
    </w:div>
    <w:div w:id="1319770094">
      <w:bodyDiv w:val="1"/>
      <w:marLeft w:val="0"/>
      <w:marRight w:val="0"/>
      <w:marTop w:val="0"/>
      <w:marBottom w:val="0"/>
      <w:divBdr>
        <w:top w:val="none" w:sz="0" w:space="0" w:color="auto"/>
        <w:left w:val="none" w:sz="0" w:space="0" w:color="auto"/>
        <w:bottom w:val="none" w:sz="0" w:space="0" w:color="auto"/>
        <w:right w:val="none" w:sz="0" w:space="0" w:color="auto"/>
      </w:divBdr>
    </w:div>
    <w:div w:id="155446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6ABC6-57D1-44BC-9AD9-536DBF52E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5278</Words>
  <Characters>30088</Characters>
  <Application>Microsoft Office Word</Application>
  <DocSecurity>0</DocSecurity>
  <Lines>250</Lines>
  <Paragraphs>70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GBEP GHG Taskforce Meeting, 26 September 2008</vt:lpstr>
      <vt:lpstr>GBEP GHG Taskforce Meeting, 26 September 2008</vt:lpstr>
    </vt:vector>
  </TitlesOfParts>
  <Company>NASA GSFC</Company>
  <LinksUpToDate>false</LinksUpToDate>
  <CharactersWithSpaces>35296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GBEP GHG Taskforce Meeting, 26 September 2008</dc:title>
  <dc:creator>bzaitchik</dc:creator>
  <cp:lastModifiedBy>Andrea Rossi (NRC)</cp:lastModifiedBy>
  <cp:revision>2</cp:revision>
  <cp:lastPrinted>2015-05-05T13:01:00Z</cp:lastPrinted>
  <dcterms:created xsi:type="dcterms:W3CDTF">2015-05-07T08:51:00Z</dcterms:created>
  <dcterms:modified xsi:type="dcterms:W3CDTF">2015-05-07T08:51:00Z</dcterms:modified>
</cp:coreProperties>
</file>