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B39" w:rsidRDefault="00EA4B39" w:rsidP="00CA6870"/>
    <w:p w:rsidR="00DF0CB6" w:rsidRPr="00DF0CB6" w:rsidRDefault="00DF0CB6" w:rsidP="00DF0CB6">
      <w:pPr>
        <w:spacing w:after="120" w:line="240" w:lineRule="auto"/>
        <w:rPr>
          <w:rFonts w:ascii="Arial" w:eastAsia="Calibri" w:hAnsi="Arial" w:cs="Arial"/>
          <w:lang w:val="en-GB"/>
        </w:rPr>
      </w:pPr>
      <w:r w:rsidRPr="00DF0CB6">
        <w:rPr>
          <w:rFonts w:ascii="Arial" w:eastAsia="Calibri" w:hAnsi="Arial" w:cs="Arial"/>
          <w:lang w:val="en-GB"/>
        </w:rPr>
        <w:t>Section of Education for Sustainable Development</w:t>
      </w:r>
    </w:p>
    <w:p w:rsidR="00DF0CB6" w:rsidRPr="00DF0CB6" w:rsidRDefault="00DF0CB6" w:rsidP="00DF0CB6">
      <w:pPr>
        <w:spacing w:after="120" w:line="240" w:lineRule="auto"/>
        <w:rPr>
          <w:rFonts w:ascii="Arial" w:eastAsia="Calibri" w:hAnsi="Arial" w:cs="Arial"/>
          <w:lang w:val="en-GB"/>
        </w:rPr>
      </w:pPr>
      <w:r w:rsidRPr="00DF0CB6">
        <w:rPr>
          <w:rFonts w:ascii="Arial" w:eastAsia="Calibri" w:hAnsi="Arial" w:cs="Arial"/>
          <w:lang w:val="en-GB"/>
        </w:rPr>
        <w:t>Division for Teaching, Learning and Content</w:t>
      </w:r>
    </w:p>
    <w:p w:rsidR="00DF0CB6" w:rsidRPr="00DF0CB6" w:rsidRDefault="00DF0CB6" w:rsidP="00DF0CB6">
      <w:pPr>
        <w:spacing w:after="120" w:line="240" w:lineRule="auto"/>
        <w:rPr>
          <w:rFonts w:ascii="Arial" w:eastAsia="Calibri" w:hAnsi="Arial" w:cs="Arial"/>
          <w:lang w:val="en-GB"/>
        </w:rPr>
      </w:pPr>
      <w:r w:rsidRPr="00DF0CB6">
        <w:rPr>
          <w:rFonts w:ascii="Arial" w:eastAsia="Calibri" w:hAnsi="Arial" w:cs="Arial"/>
          <w:lang w:val="en-GB"/>
        </w:rPr>
        <w:t>Education Sector</w:t>
      </w:r>
    </w:p>
    <w:p w:rsidR="00DF0CB6" w:rsidRPr="00DF0CB6" w:rsidRDefault="00DF0CB6" w:rsidP="00DF0CB6">
      <w:pPr>
        <w:spacing w:after="120" w:line="240" w:lineRule="auto"/>
        <w:rPr>
          <w:rFonts w:ascii="Arial" w:eastAsia="Calibri" w:hAnsi="Arial" w:cs="Arial"/>
          <w:lang w:val="en-GB"/>
        </w:rPr>
      </w:pPr>
      <w:r w:rsidRPr="00DF0CB6">
        <w:rPr>
          <w:rFonts w:ascii="Arial" w:eastAsia="Calibri" w:hAnsi="Arial" w:cs="Arial"/>
          <w:lang w:val="en-GB"/>
        </w:rPr>
        <w:t>UNESCO</w:t>
      </w:r>
    </w:p>
    <w:p w:rsidR="00DF0CB6" w:rsidRPr="00DF0CB6" w:rsidRDefault="00DF0CB6" w:rsidP="00DF0CB6">
      <w:pPr>
        <w:spacing w:after="120" w:line="240" w:lineRule="auto"/>
        <w:rPr>
          <w:rFonts w:ascii="Arial" w:eastAsia="Calibri" w:hAnsi="Arial" w:cs="Arial"/>
          <w:lang w:val="en-GB"/>
        </w:rPr>
      </w:pPr>
    </w:p>
    <w:p w:rsidR="00DF0CB6" w:rsidRPr="00DF0CB6" w:rsidRDefault="00DF0CB6" w:rsidP="00DF0CB6">
      <w:pPr>
        <w:spacing w:after="120" w:line="240" w:lineRule="auto"/>
        <w:rPr>
          <w:rFonts w:ascii="Arial" w:eastAsia="Calibri" w:hAnsi="Arial" w:cs="Arial"/>
          <w:lang w:val="en-GB"/>
        </w:rPr>
      </w:pPr>
    </w:p>
    <w:p w:rsidR="00DF0CB6" w:rsidRPr="00DF0CB6" w:rsidRDefault="00DF0CB6" w:rsidP="00DF0CB6">
      <w:pPr>
        <w:spacing w:after="120" w:line="240" w:lineRule="auto"/>
        <w:rPr>
          <w:rFonts w:ascii="Arial" w:eastAsia="Calibri" w:hAnsi="Arial" w:cs="Arial"/>
          <w:b/>
          <w:lang w:val="en-GB"/>
        </w:rPr>
      </w:pPr>
      <w:r w:rsidRPr="00DF0CB6">
        <w:rPr>
          <w:rFonts w:ascii="Arial" w:eastAsia="Calibri" w:hAnsi="Arial" w:cs="Arial"/>
          <w:b/>
          <w:lang w:val="en-GB"/>
        </w:rPr>
        <w:t xml:space="preserve">Terms of Reference: </w:t>
      </w:r>
      <w:bookmarkStart w:id="0" w:name="_GoBack"/>
      <w:r w:rsidRPr="00DF0CB6">
        <w:rPr>
          <w:rFonts w:ascii="Arial" w:eastAsia="Calibri" w:hAnsi="Arial" w:cs="Arial"/>
          <w:b/>
          <w:lang w:val="en-GB"/>
        </w:rPr>
        <w:t>Develop</w:t>
      </w:r>
      <w:r>
        <w:rPr>
          <w:rFonts w:ascii="Arial" w:eastAsia="Calibri" w:hAnsi="Arial" w:cs="Arial"/>
          <w:b/>
          <w:lang w:val="en-GB"/>
        </w:rPr>
        <w:t>ing</w:t>
      </w:r>
      <w:r w:rsidRPr="00DF0CB6">
        <w:rPr>
          <w:rFonts w:ascii="Arial" w:eastAsia="Calibri" w:hAnsi="Arial" w:cs="Arial"/>
          <w:b/>
          <w:lang w:val="en-GB"/>
        </w:rPr>
        <w:t xml:space="preserve"> </w:t>
      </w:r>
      <w:r>
        <w:rPr>
          <w:rFonts w:ascii="Arial" w:eastAsia="Calibri" w:hAnsi="Arial" w:cs="Arial"/>
          <w:b/>
          <w:lang w:val="en-GB"/>
        </w:rPr>
        <w:t>g</w:t>
      </w:r>
      <w:r w:rsidRPr="00DF0CB6">
        <w:rPr>
          <w:rFonts w:ascii="Arial" w:eastAsia="Calibri" w:hAnsi="Arial" w:cs="Arial"/>
          <w:b/>
          <w:lang w:val="en-GB"/>
        </w:rPr>
        <w:t>uidelines for schools on mainstreaming ESD and climate action through a whole-school approach</w:t>
      </w:r>
      <w:bookmarkEnd w:id="0"/>
    </w:p>
    <w:p w:rsidR="00DF0CB6" w:rsidRPr="00DF0CB6" w:rsidRDefault="00DF0CB6" w:rsidP="00DF0CB6">
      <w:pPr>
        <w:spacing w:after="120" w:line="240" w:lineRule="auto"/>
        <w:rPr>
          <w:rFonts w:ascii="Arial" w:eastAsia="Calibri" w:hAnsi="Arial" w:cs="Arial"/>
          <w:lang w:val="en-GB"/>
        </w:rPr>
      </w:pPr>
      <w:r w:rsidRPr="00DF0CB6">
        <w:rPr>
          <w:rFonts w:ascii="Arial" w:eastAsia="Calibri" w:hAnsi="Arial" w:cs="Arial"/>
          <w:lang w:val="en-GB"/>
        </w:rPr>
        <w:t xml:space="preserve">Type of contract: </w:t>
      </w:r>
      <w:r>
        <w:rPr>
          <w:rFonts w:ascii="Arial" w:eastAsia="Calibri" w:hAnsi="Arial" w:cs="Arial"/>
          <w:lang w:val="en-GB"/>
        </w:rPr>
        <w:t>Individual author</w:t>
      </w:r>
      <w:r w:rsidR="003A55CF">
        <w:rPr>
          <w:rFonts w:ascii="Arial" w:eastAsia="Calibri" w:hAnsi="Arial" w:cs="Arial"/>
          <w:lang w:val="en-GB"/>
        </w:rPr>
        <w:t xml:space="preserve">s </w:t>
      </w:r>
      <w:r w:rsidRPr="00DF0CB6">
        <w:rPr>
          <w:rFonts w:ascii="Arial" w:eastAsia="Calibri" w:hAnsi="Arial" w:cs="Arial"/>
          <w:lang w:val="en-GB"/>
        </w:rPr>
        <w:t xml:space="preserve">  </w:t>
      </w:r>
    </w:p>
    <w:p w:rsidR="00DF0CB6" w:rsidRPr="00DF0CB6" w:rsidRDefault="00DF0CB6" w:rsidP="00FC1D2A">
      <w:pPr>
        <w:spacing w:after="120" w:line="240" w:lineRule="auto"/>
        <w:rPr>
          <w:rFonts w:ascii="Arial" w:eastAsia="Calibri" w:hAnsi="Arial" w:cs="Arial"/>
          <w:lang w:val="en-GB"/>
        </w:rPr>
      </w:pPr>
      <w:r w:rsidRPr="00DF0CB6">
        <w:rPr>
          <w:rFonts w:ascii="Arial" w:eastAsia="Calibri" w:hAnsi="Arial" w:cs="Arial"/>
          <w:lang w:val="en-GB"/>
        </w:rPr>
        <w:t>Duration:</w:t>
      </w:r>
      <w:r>
        <w:rPr>
          <w:rFonts w:ascii="Arial" w:eastAsia="Calibri" w:hAnsi="Arial" w:cs="Arial"/>
          <w:lang w:val="en-GB"/>
        </w:rPr>
        <w:t xml:space="preserve"> two </w:t>
      </w:r>
      <w:r w:rsidRPr="00DF0CB6">
        <w:rPr>
          <w:rFonts w:ascii="Arial" w:eastAsia="Calibri" w:hAnsi="Arial" w:cs="Arial"/>
          <w:lang w:val="en-GB"/>
        </w:rPr>
        <w:t>months</w:t>
      </w:r>
    </w:p>
    <w:p w:rsidR="00EA4B39" w:rsidRPr="00DF0CB6" w:rsidRDefault="00EA4B39" w:rsidP="00DF0CB6">
      <w:pPr>
        <w:spacing w:after="120"/>
        <w:rPr>
          <w:rFonts w:asciiTheme="minorBidi" w:hAnsiTheme="minorBidi"/>
        </w:rPr>
      </w:pPr>
    </w:p>
    <w:p w:rsidR="00CA6870" w:rsidRPr="00DF0CB6" w:rsidRDefault="00CA6870" w:rsidP="00DF0CB6">
      <w:pPr>
        <w:spacing w:after="120"/>
        <w:jc w:val="both"/>
        <w:rPr>
          <w:rFonts w:asciiTheme="minorBidi" w:hAnsiTheme="minorBidi"/>
          <w:b/>
          <w:bCs/>
        </w:rPr>
      </w:pPr>
      <w:r w:rsidRPr="00DF0CB6">
        <w:rPr>
          <w:rFonts w:asciiTheme="minorBidi" w:hAnsiTheme="minorBidi"/>
          <w:b/>
          <w:bCs/>
        </w:rPr>
        <w:t>A. Background:</w:t>
      </w:r>
    </w:p>
    <w:p w:rsidR="00CA6870" w:rsidRPr="00DF0CB6" w:rsidRDefault="00CA6870" w:rsidP="00DF0CB6">
      <w:pPr>
        <w:spacing w:after="120"/>
        <w:jc w:val="both"/>
        <w:rPr>
          <w:rFonts w:asciiTheme="minorBidi" w:hAnsiTheme="minorBidi"/>
        </w:rPr>
      </w:pPr>
      <w:r w:rsidRPr="00DF0CB6">
        <w:rPr>
          <w:rFonts w:asciiTheme="minorBidi" w:hAnsiTheme="minorBidi"/>
        </w:rPr>
        <w:t xml:space="preserve">According to the final report on the UN Decade of Education for Sustainable Development (2005-2014), whole-school approaches are particularly promising mechanisms for integrating Education for Sustainable Development (ESD) into education holistically. Whole-school approaches imply mainstreaming sustainability into all activities of the school, including the reorientation of teaching content and methodology, green campus and facility management, school governance, as well as cooperation with partners and the broader community. Whole-school approaches allow members of the school community to integrate sustainability principles into their daily practice – to live what they learn; to learn what they live. </w:t>
      </w:r>
    </w:p>
    <w:p w:rsidR="00CA6870" w:rsidRPr="00DF0CB6" w:rsidRDefault="00CA6870" w:rsidP="00062E79">
      <w:pPr>
        <w:spacing w:after="120"/>
        <w:jc w:val="both"/>
        <w:rPr>
          <w:rFonts w:asciiTheme="minorBidi" w:hAnsiTheme="minorBidi"/>
        </w:rPr>
      </w:pPr>
      <w:r w:rsidRPr="00DF0CB6">
        <w:rPr>
          <w:rFonts w:asciiTheme="minorBidi" w:hAnsiTheme="minorBidi"/>
        </w:rPr>
        <w:t xml:space="preserve">As part of the Global Action Programme on ESD (GAP), the official follow-up to the UN Decade of ESD, UNESCO will </w:t>
      </w:r>
      <w:r w:rsidR="00062E79">
        <w:rPr>
          <w:rFonts w:asciiTheme="minorBidi" w:hAnsiTheme="minorBidi"/>
        </w:rPr>
        <w:t>help</w:t>
      </w:r>
      <w:r w:rsidRPr="00DF0CB6">
        <w:rPr>
          <w:rFonts w:asciiTheme="minorBidi" w:hAnsiTheme="minorBidi"/>
        </w:rPr>
        <w:t xml:space="preserve"> UNESCO Associated Schools worldwide to implement a whole-school approach to ESD. </w:t>
      </w:r>
      <w:r w:rsidR="00062E79">
        <w:rPr>
          <w:rFonts w:asciiTheme="minorBidi" w:hAnsiTheme="minorBidi"/>
        </w:rPr>
        <w:t xml:space="preserve">In order </w:t>
      </w:r>
      <w:r w:rsidR="00062E79" w:rsidRPr="00DF0CB6">
        <w:rPr>
          <w:rFonts w:asciiTheme="minorBidi" w:hAnsiTheme="minorBidi"/>
        </w:rPr>
        <w:t>to support the ASPnet schools in their efforts</w:t>
      </w:r>
      <w:r w:rsidR="00062E79">
        <w:rPr>
          <w:rFonts w:asciiTheme="minorBidi" w:hAnsiTheme="minorBidi"/>
        </w:rPr>
        <w:t xml:space="preserve">, </w:t>
      </w:r>
      <w:r w:rsidRPr="00DF0CB6">
        <w:rPr>
          <w:rFonts w:asciiTheme="minorBidi" w:hAnsiTheme="minorBidi"/>
        </w:rPr>
        <w:t xml:space="preserve">UNESCO will develop guidelines for implementing a whole-school approach. These guidelines will be discussed as part of the international ASPnet seminar “Getting climate-ready: Showcasing the ASPnet schools’ response to climate change”, a UNESCO contribution to the 2015 United Nations Climate Change Conference (COP 21), on </w:t>
      </w:r>
      <w:r w:rsidRPr="00FC1D2A">
        <w:rPr>
          <w:rFonts w:asciiTheme="minorBidi" w:hAnsiTheme="minorBidi"/>
          <w:u w:val="single"/>
        </w:rPr>
        <w:t>7 and 8 December 2015.</w:t>
      </w:r>
      <w:r w:rsidRPr="00DF0CB6">
        <w:rPr>
          <w:rFonts w:asciiTheme="minorBidi" w:hAnsiTheme="minorBidi"/>
        </w:rPr>
        <w:t xml:space="preserve"> </w:t>
      </w:r>
    </w:p>
    <w:p w:rsidR="00CA6870" w:rsidRPr="00DF0CB6" w:rsidRDefault="00CA6870" w:rsidP="00DF0CB6">
      <w:pPr>
        <w:spacing w:after="120"/>
        <w:jc w:val="both"/>
        <w:rPr>
          <w:rFonts w:asciiTheme="minorBidi" w:hAnsiTheme="minorBidi"/>
        </w:rPr>
      </w:pPr>
    </w:p>
    <w:p w:rsidR="00CA6870" w:rsidRPr="00DF0CB6" w:rsidRDefault="00CA6870" w:rsidP="00062E79">
      <w:pPr>
        <w:spacing w:after="120"/>
        <w:jc w:val="both"/>
        <w:rPr>
          <w:rFonts w:asciiTheme="minorBidi" w:hAnsiTheme="minorBidi"/>
          <w:b/>
          <w:bCs/>
        </w:rPr>
      </w:pPr>
      <w:r w:rsidRPr="00DF0CB6">
        <w:rPr>
          <w:rFonts w:asciiTheme="minorBidi" w:hAnsiTheme="minorBidi"/>
          <w:b/>
          <w:bCs/>
        </w:rPr>
        <w:t>B. Task:</w:t>
      </w:r>
    </w:p>
    <w:p w:rsidR="00CA6870" w:rsidRPr="00DF0CB6" w:rsidRDefault="00CA6870" w:rsidP="00062E79">
      <w:pPr>
        <w:spacing w:after="120"/>
        <w:jc w:val="both"/>
        <w:rPr>
          <w:rFonts w:asciiTheme="minorBidi" w:hAnsiTheme="minorBidi"/>
        </w:rPr>
      </w:pPr>
      <w:r w:rsidRPr="00DF0CB6">
        <w:rPr>
          <w:rFonts w:asciiTheme="minorBidi" w:hAnsiTheme="minorBidi"/>
        </w:rPr>
        <w:t xml:space="preserve">Under the overall guidance of the Director of the Division for Teaching, Learning and Content and the direct supervision of the Chief of the Section of Education for Sustainable Development, the contractor shall develop guidelines for schools on mainstreaming ESD and climate action through a whole-school approach. </w:t>
      </w:r>
    </w:p>
    <w:p w:rsidR="00982814" w:rsidRDefault="00982814" w:rsidP="00062E79">
      <w:pPr>
        <w:spacing w:after="120"/>
        <w:jc w:val="both"/>
        <w:rPr>
          <w:rFonts w:asciiTheme="minorBidi" w:hAnsiTheme="minorBidi"/>
        </w:rPr>
      </w:pPr>
    </w:p>
    <w:p w:rsidR="00982814" w:rsidRDefault="00982814" w:rsidP="00062E79">
      <w:pPr>
        <w:spacing w:after="120"/>
        <w:jc w:val="both"/>
        <w:rPr>
          <w:rFonts w:asciiTheme="minorBidi" w:hAnsiTheme="minorBidi"/>
        </w:rPr>
      </w:pPr>
    </w:p>
    <w:p w:rsidR="00982814" w:rsidRDefault="00982814" w:rsidP="00062E79">
      <w:pPr>
        <w:spacing w:after="120"/>
        <w:jc w:val="both"/>
        <w:rPr>
          <w:rFonts w:asciiTheme="minorBidi" w:hAnsiTheme="minorBidi"/>
        </w:rPr>
      </w:pPr>
    </w:p>
    <w:p w:rsidR="00CA6870" w:rsidRPr="00DF0CB6" w:rsidRDefault="00CA6870" w:rsidP="00062E79">
      <w:pPr>
        <w:spacing w:after="120"/>
        <w:jc w:val="both"/>
        <w:rPr>
          <w:rFonts w:asciiTheme="minorBidi" w:hAnsiTheme="minorBidi"/>
        </w:rPr>
      </w:pPr>
      <w:r w:rsidRPr="00DF0CB6">
        <w:rPr>
          <w:rFonts w:asciiTheme="minorBidi" w:hAnsiTheme="minorBidi"/>
        </w:rPr>
        <w:lastRenderedPageBreak/>
        <w:t>In particular, the author will</w:t>
      </w:r>
      <w:r w:rsidR="00982814">
        <w:rPr>
          <w:rFonts w:asciiTheme="minorBidi" w:hAnsiTheme="minorBidi"/>
        </w:rPr>
        <w:t>:</w:t>
      </w:r>
    </w:p>
    <w:p w:rsidR="00CA6870" w:rsidRPr="00DF0CB6" w:rsidRDefault="00CA6870" w:rsidP="00062E79">
      <w:pPr>
        <w:spacing w:after="120"/>
        <w:jc w:val="both"/>
        <w:rPr>
          <w:rFonts w:asciiTheme="minorBidi" w:hAnsiTheme="minorBidi"/>
        </w:rPr>
      </w:pPr>
      <w:r w:rsidRPr="00DF0CB6">
        <w:rPr>
          <w:rFonts w:asciiTheme="minorBidi" w:hAnsiTheme="minorBidi"/>
        </w:rPr>
        <w:t>1</w:t>
      </w:r>
      <w:r w:rsidR="00D74772">
        <w:rPr>
          <w:rFonts w:asciiTheme="minorBidi" w:hAnsiTheme="minorBidi"/>
        </w:rPr>
        <w:t xml:space="preserve">) </w:t>
      </w:r>
      <w:r w:rsidRPr="00DF0CB6">
        <w:rPr>
          <w:rFonts w:asciiTheme="minorBidi" w:hAnsiTheme="minorBidi"/>
        </w:rPr>
        <w:t xml:space="preserve">Prepare a detailed concept note </w:t>
      </w:r>
      <w:r w:rsidR="009E4183">
        <w:rPr>
          <w:rFonts w:asciiTheme="minorBidi" w:hAnsiTheme="minorBidi"/>
        </w:rPr>
        <w:t xml:space="preserve">for the work to be undertaken </w:t>
      </w:r>
      <w:r w:rsidRPr="00DF0CB6">
        <w:rPr>
          <w:rFonts w:asciiTheme="minorBidi" w:hAnsiTheme="minorBidi"/>
        </w:rPr>
        <w:t xml:space="preserve">including: </w:t>
      </w:r>
    </w:p>
    <w:p w:rsidR="00CA6870" w:rsidRPr="00D74772" w:rsidRDefault="00CA6870" w:rsidP="00062E79">
      <w:pPr>
        <w:pStyle w:val="Prrafodelista"/>
        <w:numPr>
          <w:ilvl w:val="0"/>
          <w:numId w:val="2"/>
        </w:numPr>
        <w:spacing w:after="120"/>
        <w:jc w:val="both"/>
        <w:rPr>
          <w:rFonts w:asciiTheme="minorBidi" w:hAnsiTheme="minorBidi"/>
        </w:rPr>
      </w:pPr>
      <w:r w:rsidRPr="00D74772">
        <w:rPr>
          <w:rFonts w:asciiTheme="minorBidi" w:hAnsiTheme="minorBidi"/>
        </w:rPr>
        <w:t>a work plan</w:t>
      </w:r>
      <w:r w:rsidR="009E4183">
        <w:rPr>
          <w:rFonts w:asciiTheme="minorBidi" w:hAnsiTheme="minorBidi"/>
        </w:rPr>
        <w:t xml:space="preserve"> with timeline</w:t>
      </w:r>
    </w:p>
    <w:p w:rsidR="00CA6870" w:rsidRPr="00D74772" w:rsidRDefault="00CA6870" w:rsidP="00062E79">
      <w:pPr>
        <w:pStyle w:val="Prrafodelista"/>
        <w:numPr>
          <w:ilvl w:val="0"/>
          <w:numId w:val="2"/>
        </w:numPr>
        <w:spacing w:after="120"/>
        <w:jc w:val="both"/>
        <w:rPr>
          <w:rFonts w:asciiTheme="minorBidi" w:hAnsiTheme="minorBidi"/>
        </w:rPr>
      </w:pPr>
      <w:r w:rsidRPr="00D74772">
        <w:rPr>
          <w:rFonts w:asciiTheme="minorBidi" w:hAnsiTheme="minorBidi"/>
        </w:rPr>
        <w:t>approach and methodology</w:t>
      </w:r>
    </w:p>
    <w:p w:rsidR="00CA6870" w:rsidRPr="00D74772" w:rsidRDefault="00CA6870" w:rsidP="00062E79">
      <w:pPr>
        <w:pStyle w:val="Prrafodelista"/>
        <w:numPr>
          <w:ilvl w:val="0"/>
          <w:numId w:val="2"/>
        </w:numPr>
        <w:spacing w:after="120"/>
        <w:jc w:val="both"/>
        <w:rPr>
          <w:rFonts w:asciiTheme="minorBidi" w:hAnsiTheme="minorBidi"/>
        </w:rPr>
      </w:pPr>
      <w:r w:rsidRPr="00D74772">
        <w:rPr>
          <w:rFonts w:asciiTheme="minorBidi" w:hAnsiTheme="minorBidi"/>
        </w:rPr>
        <w:t>initial proposition for the content (table and detailed outline of content, including outlining principles for mainstreaming a whole-school approach to climate change)</w:t>
      </w:r>
    </w:p>
    <w:p w:rsidR="00CA6870" w:rsidRPr="00DF0CB6" w:rsidRDefault="00D74772" w:rsidP="00062E79">
      <w:pPr>
        <w:spacing w:after="120"/>
        <w:jc w:val="both"/>
        <w:rPr>
          <w:rFonts w:asciiTheme="minorBidi" w:hAnsiTheme="minorBidi"/>
        </w:rPr>
      </w:pPr>
      <w:r>
        <w:rPr>
          <w:rFonts w:asciiTheme="minorBidi" w:hAnsiTheme="minorBidi"/>
        </w:rPr>
        <w:t>2)</w:t>
      </w:r>
      <w:r w:rsidR="00CA6870" w:rsidRPr="00DF0CB6">
        <w:rPr>
          <w:rFonts w:asciiTheme="minorBidi" w:hAnsiTheme="minorBidi"/>
        </w:rPr>
        <w:t xml:space="preserve"> After UNESCO</w:t>
      </w:r>
      <w:r>
        <w:rPr>
          <w:rFonts w:asciiTheme="minorBidi" w:hAnsiTheme="minorBidi"/>
        </w:rPr>
        <w:t>’s</w:t>
      </w:r>
      <w:r w:rsidR="00CA6870" w:rsidRPr="00DF0CB6">
        <w:rPr>
          <w:rFonts w:asciiTheme="minorBidi" w:hAnsiTheme="minorBidi"/>
        </w:rPr>
        <w:t xml:space="preserve"> approval of the detailed concept note, draft the guidelines for schools on mainstreaming ESD and climate action through a whole-school approach</w:t>
      </w:r>
      <w:r>
        <w:rPr>
          <w:rFonts w:asciiTheme="minorBidi" w:hAnsiTheme="minorBidi"/>
        </w:rPr>
        <w:t>, including:</w:t>
      </w:r>
    </w:p>
    <w:p w:rsidR="00CA6870" w:rsidRPr="00DF0CB6" w:rsidRDefault="00CA6870" w:rsidP="00D34003">
      <w:pPr>
        <w:spacing w:after="120"/>
        <w:ind w:left="360"/>
        <w:jc w:val="both"/>
        <w:rPr>
          <w:rFonts w:asciiTheme="minorBidi" w:hAnsiTheme="minorBidi"/>
        </w:rPr>
      </w:pPr>
      <w:r w:rsidRPr="00DF0CB6">
        <w:rPr>
          <w:rFonts w:asciiTheme="minorBidi" w:hAnsiTheme="minorBidi"/>
        </w:rPr>
        <w:t xml:space="preserve">a)  Review documents, studies, </w:t>
      </w:r>
      <w:r w:rsidR="00D34003">
        <w:rPr>
          <w:rFonts w:asciiTheme="minorBidi" w:hAnsiTheme="minorBidi"/>
        </w:rPr>
        <w:t xml:space="preserve">Associated Schools’ response to a three-page </w:t>
      </w:r>
      <w:r w:rsidRPr="00DF0CB6">
        <w:rPr>
          <w:rFonts w:asciiTheme="minorBidi" w:hAnsiTheme="minorBidi"/>
        </w:rPr>
        <w:t xml:space="preserve">questionnaire and related materials (e.g. </w:t>
      </w:r>
      <w:r w:rsidR="00062E79">
        <w:rPr>
          <w:rFonts w:asciiTheme="minorBidi" w:hAnsiTheme="minorBidi"/>
        </w:rPr>
        <w:t xml:space="preserve">good </w:t>
      </w:r>
      <w:r w:rsidRPr="00DF0CB6">
        <w:rPr>
          <w:rFonts w:asciiTheme="minorBidi" w:hAnsiTheme="minorBidi"/>
        </w:rPr>
        <w:t>practice examples, school sustainability plans, policy documents and frameworks)</w:t>
      </w:r>
      <w:r w:rsidR="00D74772">
        <w:rPr>
          <w:rFonts w:asciiTheme="minorBidi" w:hAnsiTheme="minorBidi"/>
        </w:rPr>
        <w:t>,</w:t>
      </w:r>
      <w:r w:rsidRPr="00DF0CB6">
        <w:rPr>
          <w:rFonts w:asciiTheme="minorBidi" w:hAnsiTheme="minorBidi"/>
        </w:rPr>
        <w:t xml:space="preserve"> and collect information on whole-school </w:t>
      </w:r>
      <w:r w:rsidRPr="00DF0CB6">
        <w:rPr>
          <w:rFonts w:asciiTheme="minorBidi" w:hAnsiTheme="minorBidi"/>
          <w:lang w:val="en-GB"/>
        </w:rPr>
        <w:t>principles</w:t>
      </w:r>
      <w:r w:rsidRPr="00DF0CB6">
        <w:rPr>
          <w:rFonts w:asciiTheme="minorBidi" w:hAnsiTheme="minorBidi"/>
        </w:rPr>
        <w:t>, required steps to be taken, relevant areas of action, etc.</w:t>
      </w:r>
    </w:p>
    <w:p w:rsidR="00CA6870" w:rsidRPr="00DF0CB6" w:rsidRDefault="00CA6870" w:rsidP="00D34003">
      <w:pPr>
        <w:spacing w:after="120"/>
        <w:ind w:left="360"/>
        <w:jc w:val="both"/>
        <w:rPr>
          <w:rFonts w:asciiTheme="minorBidi" w:hAnsiTheme="minorBidi"/>
        </w:rPr>
      </w:pPr>
      <w:r w:rsidRPr="00DF0CB6">
        <w:rPr>
          <w:rFonts w:asciiTheme="minorBidi" w:hAnsiTheme="minorBidi"/>
        </w:rPr>
        <w:t xml:space="preserve">b) Draft “easy-to-implement” guidelines (approximately </w:t>
      </w:r>
      <w:r w:rsidR="00D34003">
        <w:rPr>
          <w:rFonts w:asciiTheme="minorBidi" w:hAnsiTheme="minorBidi"/>
        </w:rPr>
        <w:t>20</w:t>
      </w:r>
      <w:r w:rsidRPr="00DF0CB6">
        <w:rPr>
          <w:rFonts w:asciiTheme="minorBidi" w:hAnsiTheme="minorBidi"/>
        </w:rPr>
        <w:t xml:space="preserve"> standard pages of 320 words</w:t>
      </w:r>
      <w:r w:rsidR="00D74772">
        <w:rPr>
          <w:rFonts w:asciiTheme="minorBidi" w:hAnsiTheme="minorBidi"/>
        </w:rPr>
        <w:t xml:space="preserve"> each</w:t>
      </w:r>
      <w:r w:rsidRPr="00DF0CB6">
        <w:rPr>
          <w:rFonts w:asciiTheme="minorBidi" w:hAnsiTheme="minorBidi"/>
        </w:rPr>
        <w:t xml:space="preserve">), providing a step-by-step process for schools to develop their own strategies and sustainability plans, and mainstream ESD and climate change into the whole school. </w:t>
      </w:r>
    </w:p>
    <w:p w:rsidR="00CA6870" w:rsidRPr="00DF0CB6" w:rsidRDefault="00CA6870" w:rsidP="00D34003">
      <w:pPr>
        <w:spacing w:after="120"/>
        <w:ind w:left="360"/>
        <w:jc w:val="both"/>
        <w:rPr>
          <w:rFonts w:asciiTheme="minorBidi" w:hAnsiTheme="minorBidi"/>
        </w:rPr>
      </w:pPr>
      <w:r w:rsidRPr="00DF0CB6">
        <w:rPr>
          <w:rFonts w:asciiTheme="minorBidi" w:hAnsiTheme="minorBidi"/>
        </w:rPr>
        <w:t>These guidelines should cover</w:t>
      </w:r>
      <w:r w:rsidR="009E4183">
        <w:rPr>
          <w:rFonts w:asciiTheme="minorBidi" w:hAnsiTheme="minorBidi"/>
        </w:rPr>
        <w:t>, among others,</w:t>
      </w:r>
      <w:r w:rsidRPr="00DF0CB6">
        <w:rPr>
          <w:rFonts w:asciiTheme="minorBidi" w:hAnsiTheme="minorBidi"/>
        </w:rPr>
        <w:t xml:space="preserve"> the following four </w:t>
      </w:r>
      <w:r w:rsidR="009E4183">
        <w:rPr>
          <w:rFonts w:asciiTheme="minorBidi" w:hAnsiTheme="minorBidi"/>
        </w:rPr>
        <w:t xml:space="preserve">conceptual </w:t>
      </w:r>
      <w:r w:rsidRPr="00DF0CB6">
        <w:rPr>
          <w:rFonts w:asciiTheme="minorBidi" w:hAnsiTheme="minorBidi"/>
        </w:rPr>
        <w:t>dimensions:</w:t>
      </w:r>
    </w:p>
    <w:p w:rsidR="00CA6870" w:rsidRPr="00D74772" w:rsidRDefault="00CA6870" w:rsidP="00297850">
      <w:pPr>
        <w:pStyle w:val="Prrafodelista"/>
        <w:numPr>
          <w:ilvl w:val="0"/>
          <w:numId w:val="6"/>
        </w:numPr>
        <w:spacing w:after="0"/>
        <w:jc w:val="both"/>
        <w:rPr>
          <w:rFonts w:asciiTheme="minorBidi" w:hAnsiTheme="minorBidi"/>
        </w:rPr>
      </w:pPr>
      <w:r w:rsidRPr="00D74772">
        <w:rPr>
          <w:rFonts w:asciiTheme="minorBidi" w:hAnsiTheme="minorBidi"/>
        </w:rPr>
        <w:t xml:space="preserve">Curriculum </w:t>
      </w:r>
      <w:r w:rsidR="00297850">
        <w:rPr>
          <w:rFonts w:asciiTheme="minorBidi" w:hAnsiTheme="minorBidi"/>
        </w:rPr>
        <w:t>c</w:t>
      </w:r>
      <w:r w:rsidRPr="00D74772">
        <w:rPr>
          <w:rFonts w:asciiTheme="minorBidi" w:hAnsiTheme="minorBidi"/>
        </w:rPr>
        <w:t>ontent/</w:t>
      </w:r>
      <w:r w:rsidR="00297850">
        <w:rPr>
          <w:rFonts w:asciiTheme="minorBidi" w:hAnsiTheme="minorBidi"/>
        </w:rPr>
        <w:t>t</w:t>
      </w:r>
      <w:r w:rsidRPr="00D74772">
        <w:rPr>
          <w:rFonts w:asciiTheme="minorBidi" w:hAnsiTheme="minorBidi"/>
        </w:rPr>
        <w:t>eaching and learning methodologies</w:t>
      </w:r>
    </w:p>
    <w:p w:rsidR="00CA6870" w:rsidRPr="00D74772" w:rsidRDefault="00CA6870" w:rsidP="00297850">
      <w:pPr>
        <w:pStyle w:val="Prrafodelista"/>
        <w:numPr>
          <w:ilvl w:val="0"/>
          <w:numId w:val="6"/>
        </w:numPr>
        <w:spacing w:after="0"/>
        <w:jc w:val="both"/>
        <w:rPr>
          <w:rFonts w:asciiTheme="minorBidi" w:hAnsiTheme="minorBidi"/>
        </w:rPr>
      </w:pPr>
      <w:r w:rsidRPr="00D74772">
        <w:rPr>
          <w:rFonts w:asciiTheme="minorBidi" w:hAnsiTheme="minorBidi"/>
        </w:rPr>
        <w:t>Facilities/</w:t>
      </w:r>
      <w:r w:rsidR="00297850">
        <w:rPr>
          <w:rFonts w:asciiTheme="minorBidi" w:hAnsiTheme="minorBidi"/>
        </w:rPr>
        <w:t>s</w:t>
      </w:r>
      <w:r w:rsidRPr="00D74772">
        <w:rPr>
          <w:rFonts w:asciiTheme="minorBidi" w:hAnsiTheme="minorBidi"/>
        </w:rPr>
        <w:t xml:space="preserve">chool </w:t>
      </w:r>
      <w:r w:rsidR="00297850">
        <w:rPr>
          <w:rFonts w:asciiTheme="minorBidi" w:hAnsiTheme="minorBidi"/>
        </w:rPr>
        <w:t>o</w:t>
      </w:r>
      <w:r w:rsidRPr="00D74772">
        <w:rPr>
          <w:rFonts w:asciiTheme="minorBidi" w:hAnsiTheme="minorBidi"/>
        </w:rPr>
        <w:t>perations</w:t>
      </w:r>
    </w:p>
    <w:p w:rsidR="00CA6870" w:rsidRPr="00D74772" w:rsidRDefault="00CA6870" w:rsidP="00297850">
      <w:pPr>
        <w:pStyle w:val="Prrafodelista"/>
        <w:numPr>
          <w:ilvl w:val="0"/>
          <w:numId w:val="6"/>
        </w:numPr>
        <w:spacing w:after="0"/>
        <w:jc w:val="both"/>
        <w:rPr>
          <w:rFonts w:asciiTheme="minorBidi" w:hAnsiTheme="minorBidi"/>
        </w:rPr>
      </w:pPr>
      <w:r w:rsidRPr="00D74772">
        <w:rPr>
          <w:rFonts w:asciiTheme="minorBidi" w:hAnsiTheme="minorBidi"/>
        </w:rPr>
        <w:t>School governance/</w:t>
      </w:r>
      <w:r w:rsidR="00297850">
        <w:rPr>
          <w:rFonts w:asciiTheme="minorBidi" w:hAnsiTheme="minorBidi"/>
        </w:rPr>
        <w:t>p</w:t>
      </w:r>
      <w:r w:rsidRPr="00D74772">
        <w:rPr>
          <w:rFonts w:asciiTheme="minorBidi" w:hAnsiTheme="minorBidi"/>
        </w:rPr>
        <w:t xml:space="preserve">olicy and </w:t>
      </w:r>
      <w:r w:rsidR="00297850">
        <w:rPr>
          <w:rFonts w:asciiTheme="minorBidi" w:hAnsiTheme="minorBidi"/>
        </w:rPr>
        <w:t>c</w:t>
      </w:r>
      <w:r w:rsidRPr="00D74772">
        <w:rPr>
          <w:rFonts w:asciiTheme="minorBidi" w:hAnsiTheme="minorBidi"/>
        </w:rPr>
        <w:t xml:space="preserve">apacity </w:t>
      </w:r>
      <w:r w:rsidR="00297850">
        <w:rPr>
          <w:rFonts w:asciiTheme="minorBidi" w:hAnsiTheme="minorBidi"/>
        </w:rPr>
        <w:t>b</w:t>
      </w:r>
      <w:r w:rsidRPr="00D74772">
        <w:rPr>
          <w:rFonts w:asciiTheme="minorBidi" w:hAnsiTheme="minorBidi"/>
        </w:rPr>
        <w:t>uilding</w:t>
      </w:r>
    </w:p>
    <w:p w:rsidR="00CA6870" w:rsidRPr="00D74772" w:rsidRDefault="00CA6870" w:rsidP="00297850">
      <w:pPr>
        <w:pStyle w:val="Prrafodelista"/>
        <w:numPr>
          <w:ilvl w:val="0"/>
          <w:numId w:val="6"/>
        </w:numPr>
        <w:spacing w:after="120"/>
        <w:jc w:val="both"/>
        <w:rPr>
          <w:rFonts w:asciiTheme="minorBidi" w:hAnsiTheme="minorBidi"/>
        </w:rPr>
      </w:pPr>
      <w:r w:rsidRPr="00D74772">
        <w:rPr>
          <w:rFonts w:asciiTheme="minorBidi" w:hAnsiTheme="minorBidi"/>
        </w:rPr>
        <w:t xml:space="preserve">Community </w:t>
      </w:r>
      <w:r w:rsidR="00297850">
        <w:rPr>
          <w:rFonts w:asciiTheme="minorBidi" w:hAnsiTheme="minorBidi"/>
        </w:rPr>
        <w:t>p</w:t>
      </w:r>
      <w:r w:rsidRPr="00D74772">
        <w:rPr>
          <w:rFonts w:asciiTheme="minorBidi" w:hAnsiTheme="minorBidi"/>
        </w:rPr>
        <w:t>artnership</w:t>
      </w:r>
    </w:p>
    <w:p w:rsidR="009E4183" w:rsidRPr="001E680C" w:rsidRDefault="009E4183" w:rsidP="00FC1D2A">
      <w:pPr>
        <w:spacing w:after="120"/>
        <w:jc w:val="both"/>
        <w:rPr>
          <w:rFonts w:asciiTheme="minorBidi" w:hAnsiTheme="minorBidi"/>
        </w:rPr>
      </w:pPr>
      <w:r>
        <w:rPr>
          <w:rFonts w:asciiTheme="minorBidi" w:hAnsiTheme="minorBidi"/>
        </w:rPr>
        <w:t>The guidelines should be accompanied throughout by illustrative good practice examples from schools (to be included in boxes). It will be a major tas</w:t>
      </w:r>
      <w:r w:rsidR="001E680C">
        <w:rPr>
          <w:rFonts w:asciiTheme="minorBidi" w:hAnsiTheme="minorBidi"/>
        </w:rPr>
        <w:t>k</w:t>
      </w:r>
      <w:r>
        <w:rPr>
          <w:rFonts w:asciiTheme="minorBidi" w:hAnsiTheme="minorBidi"/>
        </w:rPr>
        <w:t xml:space="preserve"> of the contractor to ensure the guidelines are concise, easy to read and orientated towards practitioners. </w:t>
      </w:r>
      <w:r w:rsidR="001E680C">
        <w:rPr>
          <w:rFonts w:asciiTheme="minorBidi" w:hAnsiTheme="minorBidi"/>
        </w:rPr>
        <w:t>Unnecessary</w:t>
      </w:r>
      <w:r>
        <w:rPr>
          <w:rFonts w:asciiTheme="minorBidi" w:hAnsiTheme="minorBidi"/>
        </w:rPr>
        <w:t xml:space="preserve"> technical language and detail is to be avoided. The guidelines should represent the state of the art in the field and should take into account related work undertaken by other organizations (for example, the eco-schools of the Foundation of Environmental Education).</w:t>
      </w:r>
    </w:p>
    <w:p w:rsidR="00CA6870" w:rsidRPr="00DF0CB6" w:rsidRDefault="00CA6870" w:rsidP="00D34003">
      <w:pPr>
        <w:spacing w:after="120"/>
        <w:jc w:val="both"/>
        <w:rPr>
          <w:rFonts w:asciiTheme="minorBidi" w:hAnsiTheme="minorBidi"/>
        </w:rPr>
      </w:pPr>
      <w:r w:rsidRPr="00DF0CB6">
        <w:rPr>
          <w:rFonts w:asciiTheme="minorBidi" w:hAnsiTheme="minorBidi"/>
        </w:rPr>
        <w:t xml:space="preserve">3) Submit draft guidelines to UNESCO by </w:t>
      </w:r>
      <w:r w:rsidR="00D34003">
        <w:rPr>
          <w:rFonts w:asciiTheme="minorBidi" w:hAnsiTheme="minorBidi"/>
        </w:rPr>
        <w:t>30 September</w:t>
      </w:r>
      <w:r w:rsidR="00297850">
        <w:rPr>
          <w:rFonts w:asciiTheme="minorBidi" w:hAnsiTheme="minorBidi"/>
        </w:rPr>
        <w:t xml:space="preserve"> 2015.</w:t>
      </w:r>
      <w:r w:rsidRPr="00DF0CB6">
        <w:rPr>
          <w:rFonts w:asciiTheme="minorBidi" w:hAnsiTheme="minorBidi"/>
        </w:rPr>
        <w:t xml:space="preserve"> </w:t>
      </w:r>
    </w:p>
    <w:p w:rsidR="005F2C8A" w:rsidRDefault="00CA6870" w:rsidP="00D34003">
      <w:pPr>
        <w:spacing w:after="120"/>
        <w:jc w:val="both"/>
        <w:rPr>
          <w:rFonts w:asciiTheme="minorBidi" w:hAnsiTheme="minorBidi"/>
        </w:rPr>
      </w:pPr>
      <w:r w:rsidRPr="00DF0CB6">
        <w:rPr>
          <w:rFonts w:asciiTheme="minorBidi" w:hAnsiTheme="minorBidi"/>
        </w:rPr>
        <w:t>4) Finalize the guidelines based on feedback received by</w:t>
      </w:r>
      <w:r w:rsidR="00062E79">
        <w:rPr>
          <w:rFonts w:asciiTheme="minorBidi" w:hAnsiTheme="minorBidi"/>
        </w:rPr>
        <w:t xml:space="preserve"> UNESCO by</w:t>
      </w:r>
      <w:r w:rsidRPr="00DF0CB6">
        <w:rPr>
          <w:rFonts w:asciiTheme="minorBidi" w:hAnsiTheme="minorBidi"/>
        </w:rPr>
        <w:t xml:space="preserve"> </w:t>
      </w:r>
      <w:r w:rsidR="00D34003">
        <w:rPr>
          <w:rFonts w:asciiTheme="minorBidi" w:hAnsiTheme="minorBidi"/>
        </w:rPr>
        <w:t>31 October</w:t>
      </w:r>
      <w:r w:rsidRPr="00DF0CB6">
        <w:rPr>
          <w:rFonts w:asciiTheme="minorBidi" w:hAnsiTheme="minorBidi"/>
        </w:rPr>
        <w:t xml:space="preserve"> 2015.  </w:t>
      </w:r>
    </w:p>
    <w:p w:rsidR="00B07FCC" w:rsidRPr="00DF0CB6" w:rsidRDefault="00B07FCC" w:rsidP="00D34003">
      <w:pPr>
        <w:spacing w:after="120"/>
        <w:jc w:val="both"/>
        <w:rPr>
          <w:rFonts w:asciiTheme="minorBidi" w:hAnsiTheme="minorBidi"/>
        </w:rPr>
      </w:pPr>
      <w:r>
        <w:rPr>
          <w:rFonts w:asciiTheme="minorBidi" w:hAnsiTheme="minorBidi"/>
        </w:rPr>
        <w:t>5) Incorporate feedback collected at the international ASPnet seminar</w:t>
      </w:r>
      <w:r w:rsidR="00FC1D2A">
        <w:rPr>
          <w:rFonts w:asciiTheme="minorBidi" w:hAnsiTheme="minorBidi"/>
        </w:rPr>
        <w:t xml:space="preserve"> by 31 December 2015</w:t>
      </w:r>
      <w:r>
        <w:rPr>
          <w:rFonts w:asciiTheme="minorBidi" w:hAnsiTheme="minorBidi"/>
        </w:rPr>
        <w:t>.</w:t>
      </w:r>
    </w:p>
    <w:p w:rsidR="00EF45E9" w:rsidRDefault="00EF45E9" w:rsidP="00062E79">
      <w:pPr>
        <w:spacing w:after="120"/>
        <w:jc w:val="both"/>
      </w:pPr>
    </w:p>
    <w:p w:rsidR="00EF45E9" w:rsidRPr="00A2630A" w:rsidRDefault="00EF45E9" w:rsidP="00062E79">
      <w:pPr>
        <w:spacing w:after="120" w:line="240" w:lineRule="auto"/>
        <w:jc w:val="both"/>
        <w:rPr>
          <w:rFonts w:ascii="Arial" w:hAnsi="Arial" w:cs="Arial"/>
          <w:b/>
        </w:rPr>
      </w:pPr>
      <w:r w:rsidRPr="00A2630A">
        <w:rPr>
          <w:rFonts w:ascii="Arial" w:hAnsi="Arial" w:cs="Arial"/>
          <w:b/>
        </w:rPr>
        <w:t>Profi</w:t>
      </w:r>
      <w:r>
        <w:rPr>
          <w:rFonts w:ascii="Arial" w:hAnsi="Arial" w:cs="Arial"/>
          <w:b/>
        </w:rPr>
        <w:t>le and qualifications required</w:t>
      </w:r>
    </w:p>
    <w:p w:rsidR="00EF45E9" w:rsidRDefault="00EF45E9" w:rsidP="00062E79">
      <w:pPr>
        <w:numPr>
          <w:ilvl w:val="0"/>
          <w:numId w:val="1"/>
        </w:numPr>
        <w:spacing w:after="120" w:line="240" w:lineRule="auto"/>
        <w:jc w:val="both"/>
        <w:rPr>
          <w:rFonts w:ascii="Arial" w:hAnsi="Arial" w:cs="Arial"/>
        </w:rPr>
      </w:pPr>
      <w:r w:rsidRPr="00EF45E9">
        <w:rPr>
          <w:rFonts w:ascii="Arial" w:hAnsi="Arial" w:cs="Arial"/>
        </w:rPr>
        <w:t>Minimum of a Masters’ degree in education or related field</w:t>
      </w:r>
    </w:p>
    <w:p w:rsidR="009E4183" w:rsidRDefault="00EF45E9" w:rsidP="00062E79">
      <w:pPr>
        <w:numPr>
          <w:ilvl w:val="0"/>
          <w:numId w:val="1"/>
        </w:numPr>
        <w:spacing w:after="120" w:line="240" w:lineRule="auto"/>
        <w:jc w:val="both"/>
        <w:rPr>
          <w:rFonts w:ascii="Arial" w:hAnsi="Arial" w:cs="Arial"/>
        </w:rPr>
      </w:pPr>
      <w:r w:rsidRPr="00EF45E9">
        <w:rPr>
          <w:rFonts w:ascii="Arial" w:hAnsi="Arial" w:cs="Arial"/>
        </w:rPr>
        <w:t xml:space="preserve">Extensive experience in carrying out </w:t>
      </w:r>
      <w:r>
        <w:rPr>
          <w:rFonts w:ascii="Arial" w:hAnsi="Arial" w:cs="Arial"/>
        </w:rPr>
        <w:t>e</w:t>
      </w:r>
      <w:r w:rsidRPr="00EF45E9">
        <w:rPr>
          <w:rFonts w:ascii="Arial" w:hAnsi="Arial" w:cs="Arial"/>
        </w:rPr>
        <w:t>ducation</w:t>
      </w:r>
      <w:r w:rsidR="009E4183">
        <w:rPr>
          <w:rFonts w:ascii="Arial" w:hAnsi="Arial" w:cs="Arial"/>
        </w:rPr>
        <w:t>-related project design and implementation</w:t>
      </w:r>
    </w:p>
    <w:p w:rsidR="00EF45E9" w:rsidRDefault="009E4183" w:rsidP="00062E79">
      <w:pPr>
        <w:numPr>
          <w:ilvl w:val="0"/>
          <w:numId w:val="1"/>
        </w:numPr>
        <w:spacing w:after="120" w:line="240" w:lineRule="auto"/>
        <w:jc w:val="both"/>
        <w:rPr>
          <w:rFonts w:ascii="Arial" w:hAnsi="Arial" w:cs="Arial"/>
        </w:rPr>
      </w:pPr>
      <w:r>
        <w:rPr>
          <w:rFonts w:ascii="Arial" w:hAnsi="Arial" w:cs="Arial"/>
        </w:rPr>
        <w:t>Experience in Education for Sustainable Development or other areas of transformative education</w:t>
      </w:r>
    </w:p>
    <w:p w:rsidR="00EF45E9" w:rsidRDefault="00EF45E9" w:rsidP="00062E79">
      <w:pPr>
        <w:numPr>
          <w:ilvl w:val="0"/>
          <w:numId w:val="1"/>
        </w:numPr>
        <w:spacing w:after="120" w:line="240" w:lineRule="auto"/>
        <w:jc w:val="both"/>
        <w:rPr>
          <w:rFonts w:ascii="Arial" w:hAnsi="Arial" w:cs="Arial"/>
        </w:rPr>
      </w:pPr>
      <w:r w:rsidRPr="00EF45E9">
        <w:rPr>
          <w:rFonts w:ascii="Arial" w:hAnsi="Arial" w:cs="Arial"/>
        </w:rPr>
        <w:t>Excellent analytical skills</w:t>
      </w:r>
    </w:p>
    <w:p w:rsidR="00EF45E9" w:rsidRPr="00EF45E9" w:rsidRDefault="00EF45E9" w:rsidP="00062E79">
      <w:pPr>
        <w:numPr>
          <w:ilvl w:val="0"/>
          <w:numId w:val="1"/>
        </w:numPr>
        <w:spacing w:after="120" w:line="240" w:lineRule="auto"/>
        <w:jc w:val="both"/>
        <w:rPr>
          <w:rFonts w:ascii="Arial" w:hAnsi="Arial" w:cs="Arial"/>
        </w:rPr>
      </w:pPr>
      <w:r w:rsidRPr="00EF45E9">
        <w:rPr>
          <w:rFonts w:ascii="Arial" w:hAnsi="Arial" w:cs="Arial"/>
        </w:rPr>
        <w:t>Excellent drafting skills in English</w:t>
      </w:r>
    </w:p>
    <w:p w:rsidR="00EF45E9" w:rsidRPr="00EF45E9" w:rsidRDefault="00EF45E9" w:rsidP="00DF0CB6">
      <w:pPr>
        <w:spacing w:after="120" w:line="240" w:lineRule="auto"/>
        <w:ind w:left="360"/>
        <w:rPr>
          <w:rFonts w:ascii="Arial" w:hAnsi="Arial" w:cs="Arial"/>
        </w:rPr>
      </w:pPr>
    </w:p>
    <w:p w:rsidR="00EF45E9" w:rsidRDefault="00EF45E9" w:rsidP="00DF0CB6">
      <w:pPr>
        <w:spacing w:after="120" w:line="240" w:lineRule="auto"/>
        <w:rPr>
          <w:rFonts w:ascii="Arial" w:hAnsi="Arial" w:cs="Arial"/>
        </w:rPr>
      </w:pPr>
      <w:r>
        <w:rPr>
          <w:rFonts w:ascii="Arial" w:hAnsi="Arial" w:cs="Arial"/>
        </w:rPr>
        <w:t>Deliverables</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8"/>
        <w:gridCol w:w="4320"/>
        <w:gridCol w:w="2610"/>
        <w:gridCol w:w="1890"/>
      </w:tblGrid>
      <w:tr w:rsidR="00DD37C5" w:rsidRPr="007C5F1E" w:rsidTr="00DD37C5">
        <w:tc>
          <w:tcPr>
            <w:tcW w:w="1278" w:type="dxa"/>
            <w:shd w:val="clear" w:color="auto" w:fill="auto"/>
            <w:vAlign w:val="center"/>
          </w:tcPr>
          <w:p w:rsidR="00DD37C5" w:rsidRPr="007C5F1E" w:rsidRDefault="00DD37C5" w:rsidP="00DD37C5">
            <w:pPr>
              <w:spacing w:after="120"/>
              <w:ind w:right="129"/>
              <w:rPr>
                <w:rFonts w:ascii="Arial" w:hAnsi="Arial" w:cs="Arial"/>
                <w:sz w:val="18"/>
                <w:szCs w:val="18"/>
              </w:rPr>
            </w:pPr>
            <w:r w:rsidRPr="007C5F1E">
              <w:rPr>
                <w:rFonts w:ascii="Arial" w:hAnsi="Arial" w:cs="Arial"/>
                <w:sz w:val="18"/>
                <w:szCs w:val="18"/>
              </w:rPr>
              <w:t>Payment</w:t>
            </w:r>
          </w:p>
        </w:tc>
        <w:tc>
          <w:tcPr>
            <w:tcW w:w="4320" w:type="dxa"/>
            <w:shd w:val="clear" w:color="auto" w:fill="auto"/>
            <w:vAlign w:val="center"/>
          </w:tcPr>
          <w:p w:rsidR="00DD37C5" w:rsidRPr="007C5F1E" w:rsidRDefault="00DD37C5" w:rsidP="00DD37C5">
            <w:pPr>
              <w:spacing w:after="120"/>
              <w:ind w:right="129"/>
              <w:rPr>
                <w:rFonts w:ascii="Arial" w:hAnsi="Arial" w:cs="Arial"/>
                <w:sz w:val="18"/>
                <w:szCs w:val="18"/>
              </w:rPr>
            </w:pPr>
            <w:r w:rsidRPr="007C5F1E">
              <w:rPr>
                <w:rFonts w:ascii="Arial" w:hAnsi="Arial" w:cs="Arial"/>
                <w:sz w:val="18"/>
                <w:szCs w:val="18"/>
              </w:rPr>
              <w:t>Upon submission and approval by UNESCO of the following:</w:t>
            </w:r>
          </w:p>
        </w:tc>
        <w:tc>
          <w:tcPr>
            <w:tcW w:w="2610" w:type="dxa"/>
            <w:shd w:val="clear" w:color="auto" w:fill="auto"/>
            <w:vAlign w:val="center"/>
          </w:tcPr>
          <w:p w:rsidR="00DD37C5" w:rsidRPr="007C5F1E" w:rsidRDefault="00DD37C5" w:rsidP="00DD37C5">
            <w:pPr>
              <w:spacing w:after="120"/>
              <w:ind w:right="129"/>
              <w:rPr>
                <w:rFonts w:ascii="Arial" w:hAnsi="Arial" w:cs="Arial"/>
                <w:sz w:val="18"/>
                <w:szCs w:val="18"/>
              </w:rPr>
            </w:pPr>
            <w:r w:rsidRPr="007C5F1E">
              <w:rPr>
                <w:rFonts w:ascii="Arial" w:hAnsi="Arial" w:cs="Arial"/>
                <w:sz w:val="18"/>
                <w:szCs w:val="18"/>
              </w:rPr>
              <w:t>Latest date for submission</w:t>
            </w:r>
          </w:p>
        </w:tc>
        <w:tc>
          <w:tcPr>
            <w:tcW w:w="1890" w:type="dxa"/>
            <w:vAlign w:val="center"/>
          </w:tcPr>
          <w:p w:rsidR="00DD37C5" w:rsidRPr="007C5F1E" w:rsidRDefault="00DD37C5" w:rsidP="00DD37C5">
            <w:pPr>
              <w:spacing w:after="120"/>
              <w:ind w:right="129"/>
              <w:rPr>
                <w:rFonts w:ascii="Arial" w:hAnsi="Arial" w:cs="Arial"/>
                <w:sz w:val="18"/>
                <w:szCs w:val="18"/>
              </w:rPr>
            </w:pPr>
            <w:r>
              <w:rPr>
                <w:rFonts w:ascii="Arial" w:hAnsi="Arial" w:cs="Arial"/>
                <w:sz w:val="18"/>
                <w:szCs w:val="18"/>
              </w:rPr>
              <w:t>Amount in US Dollar</w:t>
            </w:r>
          </w:p>
        </w:tc>
      </w:tr>
      <w:tr w:rsidR="00DD37C5" w:rsidRPr="007C5F1E" w:rsidTr="00DD37C5">
        <w:trPr>
          <w:trHeight w:val="539"/>
        </w:trPr>
        <w:tc>
          <w:tcPr>
            <w:tcW w:w="1278" w:type="dxa"/>
            <w:shd w:val="clear" w:color="auto" w:fill="auto"/>
            <w:vAlign w:val="center"/>
          </w:tcPr>
          <w:p w:rsidR="00DD37C5" w:rsidRPr="007C5F1E" w:rsidRDefault="00DD37C5" w:rsidP="00DD37C5">
            <w:pPr>
              <w:spacing w:after="120" w:line="240" w:lineRule="auto"/>
              <w:ind w:right="129"/>
              <w:rPr>
                <w:rFonts w:ascii="Arial" w:hAnsi="Arial" w:cs="Arial"/>
                <w:sz w:val="18"/>
                <w:szCs w:val="18"/>
              </w:rPr>
            </w:pPr>
            <w:r w:rsidRPr="007C5F1E">
              <w:rPr>
                <w:rFonts w:ascii="Arial" w:hAnsi="Arial" w:cs="Arial"/>
                <w:sz w:val="18"/>
                <w:szCs w:val="18"/>
              </w:rPr>
              <w:t>1</w:t>
            </w:r>
          </w:p>
        </w:tc>
        <w:tc>
          <w:tcPr>
            <w:tcW w:w="4320" w:type="dxa"/>
            <w:shd w:val="clear" w:color="auto" w:fill="auto"/>
            <w:vAlign w:val="center"/>
          </w:tcPr>
          <w:p w:rsidR="00DD37C5" w:rsidRPr="004C678F" w:rsidRDefault="00DD37C5" w:rsidP="00DD37C5">
            <w:pPr>
              <w:spacing w:after="120" w:line="240" w:lineRule="auto"/>
              <w:ind w:right="130"/>
              <w:rPr>
                <w:rFonts w:ascii="Arial" w:hAnsi="Arial" w:cs="Arial"/>
                <w:sz w:val="18"/>
                <w:szCs w:val="18"/>
              </w:rPr>
            </w:pPr>
            <w:r>
              <w:rPr>
                <w:rFonts w:ascii="Arial" w:hAnsi="Arial" w:cs="Arial"/>
                <w:sz w:val="18"/>
                <w:szCs w:val="18"/>
              </w:rPr>
              <w:t>D</w:t>
            </w:r>
            <w:r w:rsidRPr="00EF45E9">
              <w:rPr>
                <w:rFonts w:ascii="Arial" w:hAnsi="Arial" w:cs="Arial"/>
                <w:sz w:val="18"/>
                <w:szCs w:val="18"/>
              </w:rPr>
              <w:t>etailed concept note</w:t>
            </w:r>
            <w:r>
              <w:rPr>
                <w:rFonts w:ascii="Arial" w:hAnsi="Arial" w:cs="Arial"/>
                <w:sz w:val="18"/>
                <w:szCs w:val="18"/>
              </w:rPr>
              <w:t>, first draft of guidelines</w:t>
            </w:r>
          </w:p>
        </w:tc>
        <w:tc>
          <w:tcPr>
            <w:tcW w:w="2610" w:type="dxa"/>
            <w:shd w:val="clear" w:color="auto" w:fill="auto"/>
            <w:vAlign w:val="center"/>
          </w:tcPr>
          <w:p w:rsidR="00DD37C5" w:rsidRPr="00D34003" w:rsidRDefault="00D34003" w:rsidP="00D34003">
            <w:pPr>
              <w:spacing w:after="120" w:line="240" w:lineRule="auto"/>
              <w:ind w:right="129"/>
              <w:rPr>
                <w:rFonts w:ascii="Arial" w:hAnsi="Arial" w:cs="Arial"/>
                <w:sz w:val="18"/>
                <w:szCs w:val="18"/>
              </w:rPr>
            </w:pPr>
            <w:r w:rsidRPr="00D34003">
              <w:rPr>
                <w:rFonts w:ascii="Arial" w:hAnsi="Arial" w:cs="Arial"/>
                <w:sz w:val="18"/>
                <w:szCs w:val="18"/>
              </w:rPr>
              <w:t>30/09</w:t>
            </w:r>
            <w:r w:rsidR="00DD37C5" w:rsidRPr="00D34003">
              <w:rPr>
                <w:rFonts w:ascii="Arial" w:hAnsi="Arial" w:cs="Arial"/>
                <w:sz w:val="18"/>
                <w:szCs w:val="18"/>
              </w:rPr>
              <w:t xml:space="preserve">/2015 </w:t>
            </w:r>
          </w:p>
        </w:tc>
        <w:tc>
          <w:tcPr>
            <w:tcW w:w="1890" w:type="dxa"/>
            <w:vAlign w:val="center"/>
          </w:tcPr>
          <w:p w:rsidR="00DD37C5" w:rsidRPr="00DD37C5" w:rsidRDefault="00DD37C5" w:rsidP="00DD37C5">
            <w:pPr>
              <w:spacing w:after="120" w:line="240" w:lineRule="auto"/>
              <w:ind w:right="129"/>
              <w:rPr>
                <w:rFonts w:ascii="Arial" w:hAnsi="Arial" w:cs="Arial"/>
                <w:sz w:val="18"/>
                <w:szCs w:val="18"/>
              </w:rPr>
            </w:pPr>
            <w:r w:rsidRPr="00DD37C5">
              <w:rPr>
                <w:rFonts w:ascii="Arial" w:hAnsi="Arial" w:cs="Arial"/>
                <w:sz w:val="18"/>
                <w:szCs w:val="18"/>
              </w:rPr>
              <w:t>2</w:t>
            </w:r>
            <w:r>
              <w:rPr>
                <w:rFonts w:ascii="Arial" w:hAnsi="Arial" w:cs="Arial"/>
                <w:sz w:val="18"/>
                <w:szCs w:val="18"/>
              </w:rPr>
              <w:t>,</w:t>
            </w:r>
            <w:r w:rsidRPr="00DD37C5">
              <w:rPr>
                <w:rFonts w:ascii="Arial" w:hAnsi="Arial" w:cs="Arial"/>
                <w:sz w:val="18"/>
                <w:szCs w:val="18"/>
              </w:rPr>
              <w:t>000</w:t>
            </w:r>
          </w:p>
        </w:tc>
      </w:tr>
      <w:tr w:rsidR="00DD37C5" w:rsidRPr="007C5F1E" w:rsidTr="00DD37C5">
        <w:tc>
          <w:tcPr>
            <w:tcW w:w="1278" w:type="dxa"/>
            <w:shd w:val="clear" w:color="auto" w:fill="auto"/>
            <w:vAlign w:val="center"/>
          </w:tcPr>
          <w:p w:rsidR="00DD37C5" w:rsidRPr="007C5F1E" w:rsidRDefault="00DD37C5" w:rsidP="00DD37C5">
            <w:pPr>
              <w:spacing w:after="120" w:line="240" w:lineRule="auto"/>
              <w:ind w:right="129"/>
              <w:rPr>
                <w:rFonts w:ascii="Arial" w:hAnsi="Arial" w:cs="Arial"/>
                <w:sz w:val="18"/>
                <w:szCs w:val="18"/>
              </w:rPr>
            </w:pPr>
            <w:r w:rsidRPr="007C5F1E">
              <w:rPr>
                <w:rFonts w:ascii="Arial" w:hAnsi="Arial" w:cs="Arial"/>
                <w:sz w:val="18"/>
                <w:szCs w:val="18"/>
              </w:rPr>
              <w:t>2</w:t>
            </w:r>
          </w:p>
        </w:tc>
        <w:tc>
          <w:tcPr>
            <w:tcW w:w="4320" w:type="dxa"/>
            <w:shd w:val="clear" w:color="auto" w:fill="auto"/>
            <w:vAlign w:val="center"/>
          </w:tcPr>
          <w:p w:rsidR="00DD37C5" w:rsidRDefault="00DD37C5" w:rsidP="00DD37C5">
            <w:pPr>
              <w:spacing w:after="120" w:line="240" w:lineRule="auto"/>
              <w:ind w:right="130"/>
              <w:rPr>
                <w:rFonts w:ascii="Arial" w:hAnsi="Arial" w:cs="Arial"/>
                <w:sz w:val="18"/>
                <w:szCs w:val="18"/>
              </w:rPr>
            </w:pPr>
            <w:r>
              <w:rPr>
                <w:rFonts w:ascii="Arial" w:hAnsi="Arial" w:cs="Arial"/>
                <w:sz w:val="18"/>
                <w:szCs w:val="18"/>
              </w:rPr>
              <w:t>Final draft of guidelines</w:t>
            </w:r>
          </w:p>
          <w:p w:rsidR="00DD37C5" w:rsidRPr="00735291" w:rsidRDefault="00DD37C5" w:rsidP="00DD37C5">
            <w:pPr>
              <w:spacing w:after="120" w:line="240" w:lineRule="auto"/>
              <w:ind w:right="130"/>
              <w:rPr>
                <w:rFonts w:ascii="Arial" w:hAnsi="Arial" w:cs="Arial"/>
                <w:sz w:val="18"/>
                <w:szCs w:val="18"/>
              </w:rPr>
            </w:pPr>
          </w:p>
        </w:tc>
        <w:tc>
          <w:tcPr>
            <w:tcW w:w="2610" w:type="dxa"/>
            <w:shd w:val="clear" w:color="auto" w:fill="auto"/>
            <w:vAlign w:val="center"/>
          </w:tcPr>
          <w:p w:rsidR="00DD37C5" w:rsidRPr="00D34003" w:rsidRDefault="00D34003" w:rsidP="00D34003">
            <w:pPr>
              <w:spacing w:after="120" w:line="240" w:lineRule="auto"/>
              <w:ind w:right="130"/>
              <w:rPr>
                <w:rFonts w:ascii="Arial" w:hAnsi="Arial" w:cs="Arial"/>
                <w:sz w:val="18"/>
                <w:szCs w:val="18"/>
              </w:rPr>
            </w:pPr>
            <w:r w:rsidRPr="00D34003">
              <w:rPr>
                <w:rFonts w:ascii="Arial" w:hAnsi="Arial" w:cs="Arial"/>
                <w:sz w:val="18"/>
                <w:szCs w:val="18"/>
              </w:rPr>
              <w:t>31/10</w:t>
            </w:r>
            <w:r w:rsidR="00DD37C5" w:rsidRPr="00D34003">
              <w:rPr>
                <w:rFonts w:ascii="Arial" w:hAnsi="Arial" w:cs="Arial"/>
                <w:sz w:val="18"/>
                <w:szCs w:val="18"/>
              </w:rPr>
              <w:t>/2015</w:t>
            </w:r>
          </w:p>
        </w:tc>
        <w:tc>
          <w:tcPr>
            <w:tcW w:w="1890" w:type="dxa"/>
            <w:vAlign w:val="center"/>
          </w:tcPr>
          <w:p w:rsidR="00DD37C5" w:rsidRPr="00DD37C5" w:rsidRDefault="00DD37C5" w:rsidP="00DD37C5">
            <w:pPr>
              <w:spacing w:after="120" w:line="240" w:lineRule="auto"/>
              <w:ind w:right="130"/>
              <w:rPr>
                <w:rFonts w:ascii="Arial" w:hAnsi="Arial" w:cs="Arial"/>
                <w:sz w:val="18"/>
                <w:szCs w:val="18"/>
              </w:rPr>
            </w:pPr>
            <w:r w:rsidRPr="00DD37C5">
              <w:rPr>
                <w:rFonts w:ascii="Arial" w:hAnsi="Arial" w:cs="Arial"/>
                <w:sz w:val="18"/>
                <w:szCs w:val="18"/>
              </w:rPr>
              <w:t>2</w:t>
            </w:r>
            <w:r>
              <w:rPr>
                <w:rFonts w:ascii="Arial" w:hAnsi="Arial" w:cs="Arial"/>
                <w:sz w:val="18"/>
                <w:szCs w:val="18"/>
              </w:rPr>
              <w:t>,</w:t>
            </w:r>
            <w:r w:rsidRPr="00DD37C5">
              <w:rPr>
                <w:rFonts w:ascii="Arial" w:hAnsi="Arial" w:cs="Arial"/>
                <w:sz w:val="18"/>
                <w:szCs w:val="18"/>
              </w:rPr>
              <w:t>000</w:t>
            </w:r>
          </w:p>
        </w:tc>
      </w:tr>
      <w:tr w:rsidR="00B07FCC" w:rsidRPr="007C5F1E" w:rsidTr="00DD37C5">
        <w:tc>
          <w:tcPr>
            <w:tcW w:w="1278" w:type="dxa"/>
            <w:shd w:val="clear" w:color="auto" w:fill="auto"/>
            <w:vAlign w:val="center"/>
          </w:tcPr>
          <w:p w:rsidR="00B07FCC" w:rsidRPr="007C5F1E" w:rsidRDefault="00B07FCC" w:rsidP="00DD37C5">
            <w:pPr>
              <w:spacing w:after="120" w:line="240" w:lineRule="auto"/>
              <w:ind w:right="129"/>
              <w:rPr>
                <w:rFonts w:ascii="Arial" w:hAnsi="Arial" w:cs="Arial"/>
                <w:sz w:val="18"/>
                <w:szCs w:val="18"/>
              </w:rPr>
            </w:pPr>
            <w:r>
              <w:rPr>
                <w:rFonts w:ascii="Arial" w:hAnsi="Arial" w:cs="Arial"/>
                <w:sz w:val="18"/>
                <w:szCs w:val="18"/>
              </w:rPr>
              <w:t>3</w:t>
            </w:r>
          </w:p>
        </w:tc>
        <w:tc>
          <w:tcPr>
            <w:tcW w:w="4320" w:type="dxa"/>
            <w:shd w:val="clear" w:color="auto" w:fill="auto"/>
            <w:vAlign w:val="center"/>
          </w:tcPr>
          <w:p w:rsidR="00B07FCC" w:rsidRDefault="00B07FCC" w:rsidP="00DD37C5">
            <w:pPr>
              <w:spacing w:after="120" w:line="240" w:lineRule="auto"/>
              <w:ind w:right="130"/>
              <w:rPr>
                <w:rFonts w:ascii="Arial" w:hAnsi="Arial" w:cs="Arial"/>
                <w:sz w:val="18"/>
                <w:szCs w:val="18"/>
              </w:rPr>
            </w:pPr>
            <w:r>
              <w:rPr>
                <w:rFonts w:ascii="Arial" w:hAnsi="Arial" w:cs="Arial"/>
                <w:sz w:val="18"/>
                <w:szCs w:val="18"/>
              </w:rPr>
              <w:t>Revision based on the</w:t>
            </w:r>
            <w:r w:rsidR="00FC1D2A">
              <w:rPr>
                <w:rFonts w:ascii="Arial" w:hAnsi="Arial" w:cs="Arial"/>
                <w:sz w:val="18"/>
                <w:szCs w:val="18"/>
              </w:rPr>
              <w:t xml:space="preserve"> International</w:t>
            </w:r>
            <w:r>
              <w:rPr>
                <w:rFonts w:ascii="Arial" w:hAnsi="Arial" w:cs="Arial"/>
                <w:sz w:val="18"/>
                <w:szCs w:val="18"/>
              </w:rPr>
              <w:t xml:space="preserve"> ASPnet seminar</w:t>
            </w:r>
          </w:p>
        </w:tc>
        <w:tc>
          <w:tcPr>
            <w:tcW w:w="2610" w:type="dxa"/>
            <w:shd w:val="clear" w:color="auto" w:fill="auto"/>
            <w:vAlign w:val="center"/>
          </w:tcPr>
          <w:p w:rsidR="00B07FCC" w:rsidRPr="00D34003" w:rsidRDefault="00B07FCC" w:rsidP="00D34003">
            <w:pPr>
              <w:spacing w:after="120" w:line="240" w:lineRule="auto"/>
              <w:ind w:right="130"/>
              <w:rPr>
                <w:rFonts w:ascii="Arial" w:hAnsi="Arial" w:cs="Arial"/>
                <w:sz w:val="18"/>
                <w:szCs w:val="18"/>
              </w:rPr>
            </w:pPr>
            <w:r>
              <w:rPr>
                <w:rFonts w:ascii="Arial" w:hAnsi="Arial" w:cs="Arial"/>
                <w:sz w:val="18"/>
                <w:szCs w:val="18"/>
              </w:rPr>
              <w:t>31/12/2015</w:t>
            </w:r>
          </w:p>
        </w:tc>
        <w:tc>
          <w:tcPr>
            <w:tcW w:w="1890" w:type="dxa"/>
            <w:vAlign w:val="center"/>
          </w:tcPr>
          <w:p w:rsidR="00B07FCC" w:rsidRPr="00DD37C5" w:rsidRDefault="00FC1D2A" w:rsidP="00DD37C5">
            <w:pPr>
              <w:spacing w:after="120" w:line="240" w:lineRule="auto"/>
              <w:ind w:right="130"/>
              <w:rPr>
                <w:rFonts w:ascii="Arial" w:hAnsi="Arial" w:cs="Arial"/>
                <w:sz w:val="18"/>
                <w:szCs w:val="18"/>
              </w:rPr>
            </w:pPr>
            <w:r>
              <w:rPr>
                <w:rFonts w:ascii="Arial" w:hAnsi="Arial" w:cs="Arial"/>
                <w:sz w:val="18"/>
                <w:szCs w:val="18"/>
              </w:rPr>
              <w:t>1,000</w:t>
            </w:r>
          </w:p>
        </w:tc>
      </w:tr>
    </w:tbl>
    <w:p w:rsidR="00EF45E9" w:rsidRPr="00CA6870" w:rsidRDefault="00EF45E9" w:rsidP="00DF0CB6">
      <w:pPr>
        <w:spacing w:after="120"/>
      </w:pPr>
    </w:p>
    <w:sectPr w:rsidR="00EF45E9" w:rsidRPr="00CA687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4FF0" w:rsidRDefault="000E4FF0" w:rsidP="00EF45E9">
      <w:pPr>
        <w:spacing w:after="0" w:line="240" w:lineRule="auto"/>
      </w:pPr>
      <w:r>
        <w:separator/>
      </w:r>
    </w:p>
  </w:endnote>
  <w:endnote w:type="continuationSeparator" w:id="0">
    <w:p w:rsidR="000E4FF0" w:rsidRDefault="000E4FF0" w:rsidP="00EF45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D2A" w:rsidRDefault="00FC1D2A">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D2A" w:rsidRDefault="00FC1D2A">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D2A" w:rsidRDefault="00FC1D2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4FF0" w:rsidRDefault="000E4FF0" w:rsidP="00EF45E9">
      <w:pPr>
        <w:spacing w:after="0" w:line="240" w:lineRule="auto"/>
      </w:pPr>
      <w:r>
        <w:separator/>
      </w:r>
    </w:p>
  </w:footnote>
  <w:footnote w:type="continuationSeparator" w:id="0">
    <w:p w:rsidR="000E4FF0" w:rsidRDefault="000E4FF0" w:rsidP="00EF45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D2A" w:rsidRDefault="00FC1D2A">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384373"/>
      <w:docPartObj>
        <w:docPartGallery w:val="Watermarks"/>
        <w:docPartUnique/>
      </w:docPartObj>
    </w:sdtPr>
    <w:sdtEndPr/>
    <w:sdtContent>
      <w:p w:rsidR="00EF45E9" w:rsidRDefault="000E4FF0" w:rsidP="00DF0CB6">
        <w:pPr>
          <w:pStyle w:val="Encabezado"/>
          <w:jc w:val="cent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D2A" w:rsidRDefault="00FC1D2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E4B45"/>
    <w:multiLevelType w:val="hybridMultilevel"/>
    <w:tmpl w:val="B362353A"/>
    <w:lvl w:ilvl="0" w:tplc="7C9A9A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AD66D4"/>
    <w:multiLevelType w:val="hybridMultilevel"/>
    <w:tmpl w:val="65BC6DD2"/>
    <w:lvl w:ilvl="0" w:tplc="7C9A9A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232A92"/>
    <w:multiLevelType w:val="hybridMultilevel"/>
    <w:tmpl w:val="A5C4FEBA"/>
    <w:lvl w:ilvl="0" w:tplc="561E27D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BD27048"/>
    <w:multiLevelType w:val="hybridMultilevel"/>
    <w:tmpl w:val="1A26A7A0"/>
    <w:lvl w:ilvl="0" w:tplc="DF20593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1140314"/>
    <w:multiLevelType w:val="hybridMultilevel"/>
    <w:tmpl w:val="A3FEF594"/>
    <w:lvl w:ilvl="0" w:tplc="DF205938">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2772EA3"/>
    <w:multiLevelType w:val="hybridMultilevel"/>
    <w:tmpl w:val="B0A091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5"/>
  </w:num>
  <w:num w:numId="2">
    <w:abstractNumId w:val="0"/>
  </w:num>
  <w:num w:numId="3">
    <w:abstractNumId w:val="3"/>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3"/>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C8A"/>
    <w:rsid w:val="0004153B"/>
    <w:rsid w:val="00062E79"/>
    <w:rsid w:val="000E4FF0"/>
    <w:rsid w:val="00125585"/>
    <w:rsid w:val="001E680C"/>
    <w:rsid w:val="00270C8B"/>
    <w:rsid w:val="00297850"/>
    <w:rsid w:val="0034451C"/>
    <w:rsid w:val="003A55CF"/>
    <w:rsid w:val="005F2C8A"/>
    <w:rsid w:val="00605145"/>
    <w:rsid w:val="00651817"/>
    <w:rsid w:val="006A3D9D"/>
    <w:rsid w:val="00736FC6"/>
    <w:rsid w:val="00851F74"/>
    <w:rsid w:val="00935686"/>
    <w:rsid w:val="00982814"/>
    <w:rsid w:val="009E4183"/>
    <w:rsid w:val="00B07FCC"/>
    <w:rsid w:val="00BD42E2"/>
    <w:rsid w:val="00CA6870"/>
    <w:rsid w:val="00D06D3D"/>
    <w:rsid w:val="00D34003"/>
    <w:rsid w:val="00D74772"/>
    <w:rsid w:val="00DD37C5"/>
    <w:rsid w:val="00DF0CB6"/>
    <w:rsid w:val="00E27FD5"/>
    <w:rsid w:val="00EA4B39"/>
    <w:rsid w:val="00EB4F50"/>
    <w:rsid w:val="00EF45E9"/>
    <w:rsid w:val="00F10ADD"/>
    <w:rsid w:val="00F54CF2"/>
    <w:rsid w:val="00FC1D2A"/>
    <w:rsid w:val="00FF220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54CF2"/>
    <w:pPr>
      <w:ind w:left="720"/>
      <w:contextualSpacing/>
    </w:pPr>
  </w:style>
  <w:style w:type="paragraph" w:styleId="Encabezado">
    <w:name w:val="header"/>
    <w:basedOn w:val="Normal"/>
    <w:link w:val="EncabezadoCar"/>
    <w:uiPriority w:val="99"/>
    <w:unhideWhenUsed/>
    <w:rsid w:val="00EF45E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EF45E9"/>
  </w:style>
  <w:style w:type="paragraph" w:styleId="Piedepgina">
    <w:name w:val="footer"/>
    <w:basedOn w:val="Normal"/>
    <w:link w:val="PiedepginaCar"/>
    <w:uiPriority w:val="99"/>
    <w:unhideWhenUsed/>
    <w:rsid w:val="00EF45E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EF45E9"/>
  </w:style>
  <w:style w:type="paragraph" w:styleId="Textodeglobo">
    <w:name w:val="Balloon Text"/>
    <w:basedOn w:val="Normal"/>
    <w:link w:val="TextodegloboCar"/>
    <w:uiPriority w:val="99"/>
    <w:semiHidden/>
    <w:unhideWhenUsed/>
    <w:rsid w:val="009E418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E4183"/>
    <w:rPr>
      <w:rFonts w:ascii="Tahoma" w:hAnsi="Tahoma" w:cs="Tahoma"/>
      <w:sz w:val="16"/>
      <w:szCs w:val="16"/>
    </w:rPr>
  </w:style>
  <w:style w:type="character" w:styleId="Refdecomentario">
    <w:name w:val="annotation reference"/>
    <w:basedOn w:val="Fuentedeprrafopredeter"/>
    <w:uiPriority w:val="99"/>
    <w:semiHidden/>
    <w:unhideWhenUsed/>
    <w:rsid w:val="00B07FCC"/>
    <w:rPr>
      <w:sz w:val="16"/>
      <w:szCs w:val="16"/>
    </w:rPr>
  </w:style>
  <w:style w:type="paragraph" w:styleId="Textocomentario">
    <w:name w:val="annotation text"/>
    <w:basedOn w:val="Normal"/>
    <w:link w:val="TextocomentarioCar"/>
    <w:uiPriority w:val="99"/>
    <w:semiHidden/>
    <w:unhideWhenUsed/>
    <w:rsid w:val="00B07FC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07FCC"/>
    <w:rPr>
      <w:sz w:val="20"/>
      <w:szCs w:val="20"/>
    </w:rPr>
  </w:style>
  <w:style w:type="paragraph" w:styleId="Asuntodelcomentario">
    <w:name w:val="annotation subject"/>
    <w:basedOn w:val="Textocomentario"/>
    <w:next w:val="Textocomentario"/>
    <w:link w:val="AsuntodelcomentarioCar"/>
    <w:uiPriority w:val="99"/>
    <w:semiHidden/>
    <w:unhideWhenUsed/>
    <w:rsid w:val="00B07FCC"/>
    <w:rPr>
      <w:b/>
      <w:bCs/>
    </w:rPr>
  </w:style>
  <w:style w:type="character" w:customStyle="1" w:styleId="AsuntodelcomentarioCar">
    <w:name w:val="Asunto del comentario Car"/>
    <w:basedOn w:val="TextocomentarioCar"/>
    <w:link w:val="Asuntodelcomentario"/>
    <w:uiPriority w:val="99"/>
    <w:semiHidden/>
    <w:rsid w:val="00B07FC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54CF2"/>
    <w:pPr>
      <w:ind w:left="720"/>
      <w:contextualSpacing/>
    </w:pPr>
  </w:style>
  <w:style w:type="paragraph" w:styleId="Encabezado">
    <w:name w:val="header"/>
    <w:basedOn w:val="Normal"/>
    <w:link w:val="EncabezadoCar"/>
    <w:uiPriority w:val="99"/>
    <w:unhideWhenUsed/>
    <w:rsid w:val="00EF45E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EF45E9"/>
  </w:style>
  <w:style w:type="paragraph" w:styleId="Piedepgina">
    <w:name w:val="footer"/>
    <w:basedOn w:val="Normal"/>
    <w:link w:val="PiedepginaCar"/>
    <w:uiPriority w:val="99"/>
    <w:unhideWhenUsed/>
    <w:rsid w:val="00EF45E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EF45E9"/>
  </w:style>
  <w:style w:type="paragraph" w:styleId="Textodeglobo">
    <w:name w:val="Balloon Text"/>
    <w:basedOn w:val="Normal"/>
    <w:link w:val="TextodegloboCar"/>
    <w:uiPriority w:val="99"/>
    <w:semiHidden/>
    <w:unhideWhenUsed/>
    <w:rsid w:val="009E418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E4183"/>
    <w:rPr>
      <w:rFonts w:ascii="Tahoma" w:hAnsi="Tahoma" w:cs="Tahoma"/>
      <w:sz w:val="16"/>
      <w:szCs w:val="16"/>
    </w:rPr>
  </w:style>
  <w:style w:type="character" w:styleId="Refdecomentario">
    <w:name w:val="annotation reference"/>
    <w:basedOn w:val="Fuentedeprrafopredeter"/>
    <w:uiPriority w:val="99"/>
    <w:semiHidden/>
    <w:unhideWhenUsed/>
    <w:rsid w:val="00B07FCC"/>
    <w:rPr>
      <w:sz w:val="16"/>
      <w:szCs w:val="16"/>
    </w:rPr>
  </w:style>
  <w:style w:type="paragraph" w:styleId="Textocomentario">
    <w:name w:val="annotation text"/>
    <w:basedOn w:val="Normal"/>
    <w:link w:val="TextocomentarioCar"/>
    <w:uiPriority w:val="99"/>
    <w:semiHidden/>
    <w:unhideWhenUsed/>
    <w:rsid w:val="00B07FC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07FCC"/>
    <w:rPr>
      <w:sz w:val="20"/>
      <w:szCs w:val="20"/>
    </w:rPr>
  </w:style>
  <w:style w:type="paragraph" w:styleId="Asuntodelcomentario">
    <w:name w:val="annotation subject"/>
    <w:basedOn w:val="Textocomentario"/>
    <w:next w:val="Textocomentario"/>
    <w:link w:val="AsuntodelcomentarioCar"/>
    <w:uiPriority w:val="99"/>
    <w:semiHidden/>
    <w:unhideWhenUsed/>
    <w:rsid w:val="00B07FCC"/>
    <w:rPr>
      <w:b/>
      <w:bCs/>
    </w:rPr>
  </w:style>
  <w:style w:type="character" w:customStyle="1" w:styleId="AsuntodelcomentarioCar">
    <w:name w:val="Asunto del comentario Car"/>
    <w:basedOn w:val="TextocomentarioCar"/>
    <w:link w:val="Asuntodelcomentario"/>
    <w:uiPriority w:val="99"/>
    <w:semiHidden/>
    <w:rsid w:val="00B07FC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726</Words>
  <Characters>3994</Characters>
  <Application>Microsoft Office Word</Application>
  <DocSecurity>0</DocSecurity>
  <Lines>33</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Luffi</Company>
  <LinksUpToDate>false</LinksUpToDate>
  <CharactersWithSpaces>4711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Viehöfer, Julia</dc:creator>
  <cp:lastModifiedBy>MASTER</cp:lastModifiedBy>
  <cp:revision>2</cp:revision>
  <dcterms:created xsi:type="dcterms:W3CDTF">2015-09-01T19:33:00Z</dcterms:created>
  <dcterms:modified xsi:type="dcterms:W3CDTF">2015-09-01T19:33:00Z</dcterms:modified>
</cp:coreProperties>
</file>