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6AF" w:rsidRDefault="006F122D" w:rsidP="00D056AF">
      <w:pPr>
        <w:spacing w:after="0" w:line="240" w:lineRule="auto"/>
        <w:jc w:val="center"/>
        <w:rPr>
          <w:b/>
          <w:sz w:val="32"/>
          <w:szCs w:val="32"/>
        </w:rPr>
      </w:pPr>
      <w:r w:rsidRPr="00D056AF">
        <w:rPr>
          <w:b/>
          <w:sz w:val="32"/>
          <w:szCs w:val="32"/>
        </w:rPr>
        <w:t xml:space="preserve">The Sustainable Development Goals and </w:t>
      </w:r>
    </w:p>
    <w:p w:rsidR="006050B3" w:rsidRPr="00D056AF" w:rsidRDefault="00D473FC" w:rsidP="00D056AF">
      <w:pPr>
        <w:spacing w:after="0" w:line="240" w:lineRule="auto"/>
        <w:jc w:val="center"/>
        <w:rPr>
          <w:b/>
          <w:sz w:val="32"/>
          <w:szCs w:val="32"/>
        </w:rPr>
      </w:pPr>
      <w:r w:rsidRPr="00D056AF">
        <w:rPr>
          <w:b/>
          <w:sz w:val="32"/>
          <w:szCs w:val="32"/>
        </w:rPr>
        <w:t>Caribbean</w:t>
      </w:r>
      <w:r w:rsidR="006F122D" w:rsidRPr="00D056AF">
        <w:rPr>
          <w:b/>
          <w:sz w:val="32"/>
          <w:szCs w:val="32"/>
        </w:rPr>
        <w:t xml:space="preserve"> Development</w:t>
      </w:r>
    </w:p>
    <w:p w:rsidR="00D056AF" w:rsidRDefault="00D056AF" w:rsidP="00F75C7E">
      <w:pPr>
        <w:spacing w:after="0" w:line="240" w:lineRule="auto"/>
        <w:jc w:val="center"/>
        <w:rPr>
          <w:b/>
        </w:rPr>
      </w:pPr>
    </w:p>
    <w:p w:rsidR="00F75C7E" w:rsidRDefault="00F75C7E" w:rsidP="00F75C7E">
      <w:pPr>
        <w:spacing w:after="0" w:line="240" w:lineRule="auto"/>
        <w:jc w:val="center"/>
        <w:rPr>
          <w:b/>
        </w:rPr>
      </w:pPr>
      <w:r>
        <w:rPr>
          <w:b/>
        </w:rPr>
        <w:t>Ballayram</w:t>
      </w:r>
    </w:p>
    <w:p w:rsidR="00A956D7" w:rsidRPr="00A956D7" w:rsidRDefault="00A956D7" w:rsidP="00F75C7E">
      <w:pPr>
        <w:spacing w:after="0" w:line="240" w:lineRule="auto"/>
        <w:jc w:val="center"/>
        <w:rPr>
          <w:i/>
        </w:rPr>
      </w:pPr>
      <w:r w:rsidRPr="00A956D7">
        <w:rPr>
          <w:i/>
        </w:rPr>
        <w:t>International Consultant</w:t>
      </w:r>
    </w:p>
    <w:p w:rsidR="00A956D7" w:rsidRPr="00A956D7" w:rsidRDefault="00A956D7" w:rsidP="00F75C7E">
      <w:pPr>
        <w:spacing w:after="0" w:line="240" w:lineRule="auto"/>
        <w:jc w:val="center"/>
        <w:rPr>
          <w:i/>
        </w:rPr>
      </w:pPr>
      <w:r w:rsidRPr="00A956D7">
        <w:rPr>
          <w:i/>
        </w:rPr>
        <w:t>Food &amp; Nutrition Security</w:t>
      </w:r>
    </w:p>
    <w:p w:rsidR="003812AD" w:rsidRDefault="003812AD" w:rsidP="00F75C7E">
      <w:pPr>
        <w:spacing w:after="0" w:line="240" w:lineRule="auto"/>
        <w:jc w:val="center"/>
      </w:pPr>
      <w:r>
        <w:t>Ramballay@yahoo.com</w:t>
      </w:r>
    </w:p>
    <w:p w:rsidR="00F75C7E" w:rsidRPr="00A956D7" w:rsidRDefault="00F75C7E" w:rsidP="00F75C7E">
      <w:pPr>
        <w:spacing w:after="0" w:line="240" w:lineRule="auto"/>
        <w:jc w:val="center"/>
      </w:pPr>
      <w:r w:rsidRPr="00A956D7">
        <w:t>January 21, 2016</w:t>
      </w:r>
    </w:p>
    <w:p w:rsidR="00B443F4" w:rsidRDefault="00B443F4" w:rsidP="00CB3F15">
      <w:pPr>
        <w:spacing w:after="0" w:line="240" w:lineRule="auto"/>
        <w:jc w:val="both"/>
      </w:pPr>
    </w:p>
    <w:p w:rsidR="00F75C7E" w:rsidRPr="00D056AF" w:rsidRDefault="00F75C7E" w:rsidP="008F6F7A">
      <w:pPr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The aim of this opinion-piece is to engage policy makers in CARICOM countries to embrace the Sustainable Development Goals </w:t>
      </w:r>
      <w:r w:rsidR="002B2481" w:rsidRPr="00D056AF">
        <w:rPr>
          <w:sz w:val="20"/>
          <w:szCs w:val="20"/>
        </w:rPr>
        <w:t>(SDGs)</w:t>
      </w:r>
      <w:r w:rsidR="00D056AF" w:rsidRPr="00D056AF">
        <w:rPr>
          <w:sz w:val="20"/>
          <w:szCs w:val="20"/>
        </w:rPr>
        <w:t>,</w:t>
      </w:r>
      <w:r w:rsidR="002B2481" w:rsidRPr="00D056AF">
        <w:rPr>
          <w:sz w:val="20"/>
          <w:szCs w:val="20"/>
        </w:rPr>
        <w:t xml:space="preserve"> </w:t>
      </w:r>
      <w:r w:rsidRPr="00D056AF">
        <w:rPr>
          <w:sz w:val="20"/>
          <w:szCs w:val="20"/>
        </w:rPr>
        <w:t xml:space="preserve">as national priorities and to </w:t>
      </w:r>
      <w:r w:rsidR="002B2481" w:rsidRPr="00D056AF">
        <w:rPr>
          <w:sz w:val="20"/>
          <w:szCs w:val="20"/>
        </w:rPr>
        <w:t xml:space="preserve">begin a process of national mobilization and sensitization on the benefits to, and roles and responsibilities of all stakeholders. The SDGs provide a good opportunity for these countries to transform their economies </w:t>
      </w:r>
      <w:r w:rsidR="00990078">
        <w:rPr>
          <w:sz w:val="20"/>
          <w:szCs w:val="20"/>
        </w:rPr>
        <w:t>tow</w:t>
      </w:r>
      <w:r w:rsidR="00350AB8">
        <w:rPr>
          <w:sz w:val="20"/>
          <w:szCs w:val="20"/>
        </w:rPr>
        <w:t>ards</w:t>
      </w:r>
      <w:r w:rsidR="002B2481" w:rsidRPr="00D056AF">
        <w:rPr>
          <w:sz w:val="20"/>
          <w:szCs w:val="20"/>
        </w:rPr>
        <w:t xml:space="preserve"> sustainable development. Despite this promise, and</w:t>
      </w:r>
      <w:r w:rsidR="008F6F7A" w:rsidRPr="00D056AF">
        <w:rPr>
          <w:sz w:val="20"/>
          <w:szCs w:val="20"/>
        </w:rPr>
        <w:t xml:space="preserve"> </w:t>
      </w:r>
      <w:r w:rsidR="002B2481" w:rsidRPr="00D056AF">
        <w:rPr>
          <w:sz w:val="20"/>
          <w:szCs w:val="20"/>
        </w:rPr>
        <w:t>the fact that the</w:t>
      </w:r>
      <w:r w:rsidR="008F6F7A" w:rsidRPr="00D056AF">
        <w:rPr>
          <w:sz w:val="20"/>
          <w:szCs w:val="20"/>
        </w:rPr>
        <w:t>y</w:t>
      </w:r>
      <w:r w:rsidR="002B2481" w:rsidRPr="00D056AF">
        <w:rPr>
          <w:sz w:val="20"/>
          <w:szCs w:val="20"/>
        </w:rPr>
        <w:t xml:space="preserve"> have been in the making for the past four years,</w:t>
      </w:r>
      <w:r w:rsidR="008F6F7A" w:rsidRPr="00D056AF">
        <w:rPr>
          <w:sz w:val="20"/>
          <w:szCs w:val="20"/>
        </w:rPr>
        <w:t xml:space="preserve"> the SDGs</w:t>
      </w:r>
      <w:r w:rsidR="002B2481" w:rsidRPr="00D056AF">
        <w:rPr>
          <w:sz w:val="20"/>
          <w:szCs w:val="20"/>
        </w:rPr>
        <w:t xml:space="preserve"> have not been elevated </w:t>
      </w:r>
      <w:r w:rsidR="00990078">
        <w:rPr>
          <w:sz w:val="20"/>
          <w:szCs w:val="20"/>
        </w:rPr>
        <w:t>at</w:t>
      </w:r>
      <w:r w:rsidR="008F6F7A" w:rsidRPr="00D056AF">
        <w:rPr>
          <w:sz w:val="20"/>
          <w:szCs w:val="20"/>
        </w:rPr>
        <w:t xml:space="preserve"> the levels of</w:t>
      </w:r>
      <w:r w:rsidR="002B2481" w:rsidRPr="00D056AF">
        <w:rPr>
          <w:sz w:val="20"/>
          <w:szCs w:val="20"/>
        </w:rPr>
        <w:t xml:space="preserve"> national dialogues and </w:t>
      </w:r>
      <w:r w:rsidR="00990078">
        <w:rPr>
          <w:sz w:val="20"/>
          <w:szCs w:val="20"/>
        </w:rPr>
        <w:t>community awareness</w:t>
      </w:r>
      <w:r w:rsidR="002B2481" w:rsidRPr="00D056AF">
        <w:rPr>
          <w:sz w:val="20"/>
          <w:szCs w:val="20"/>
        </w:rPr>
        <w:t xml:space="preserve"> that their importance deserves.</w:t>
      </w:r>
      <w:r w:rsidR="008F6F7A" w:rsidRPr="00D056AF">
        <w:rPr>
          <w:sz w:val="20"/>
          <w:szCs w:val="20"/>
        </w:rPr>
        <w:t xml:space="preserve"> </w:t>
      </w:r>
      <w:r w:rsidR="002B2481" w:rsidRPr="00D056AF">
        <w:rPr>
          <w:sz w:val="20"/>
          <w:szCs w:val="20"/>
        </w:rPr>
        <w:t xml:space="preserve"> </w:t>
      </w:r>
    </w:p>
    <w:p w:rsidR="009060D4" w:rsidRPr="00D056AF" w:rsidRDefault="00D473FC" w:rsidP="009060D4">
      <w:pPr>
        <w:spacing w:after="0" w:line="240" w:lineRule="auto"/>
        <w:ind w:firstLine="720"/>
        <w:jc w:val="both"/>
        <w:rPr>
          <w:sz w:val="20"/>
          <w:szCs w:val="20"/>
        </w:rPr>
      </w:pPr>
      <w:r w:rsidRPr="009060D4">
        <w:rPr>
          <w:sz w:val="20"/>
          <w:szCs w:val="20"/>
        </w:rPr>
        <w:t>The</w:t>
      </w:r>
      <w:r w:rsidR="004315B9" w:rsidRPr="009060D4">
        <w:rPr>
          <w:sz w:val="20"/>
          <w:szCs w:val="20"/>
        </w:rPr>
        <w:t xml:space="preserve"> </w:t>
      </w:r>
      <w:r w:rsidR="006C1431" w:rsidRPr="009060D4">
        <w:rPr>
          <w:sz w:val="20"/>
          <w:szCs w:val="20"/>
        </w:rPr>
        <w:t>Sustainable Development Goals (SDGs)</w:t>
      </w:r>
      <w:r w:rsidRPr="009060D4">
        <w:rPr>
          <w:sz w:val="20"/>
          <w:szCs w:val="20"/>
        </w:rPr>
        <w:t>,</w:t>
      </w:r>
      <w:r w:rsidR="006C1431" w:rsidRPr="009060D4">
        <w:rPr>
          <w:sz w:val="20"/>
          <w:szCs w:val="20"/>
        </w:rPr>
        <w:t xml:space="preserve"> </w:t>
      </w:r>
      <w:r w:rsidR="002C749A" w:rsidRPr="009060D4">
        <w:rPr>
          <w:sz w:val="20"/>
          <w:szCs w:val="20"/>
        </w:rPr>
        <w:t xml:space="preserve">which </w:t>
      </w:r>
      <w:r w:rsidR="006C1431" w:rsidRPr="009060D4">
        <w:rPr>
          <w:sz w:val="20"/>
          <w:szCs w:val="20"/>
        </w:rPr>
        <w:t xml:space="preserve">came into effect </w:t>
      </w:r>
      <w:r w:rsidRPr="009060D4">
        <w:rPr>
          <w:sz w:val="20"/>
          <w:szCs w:val="20"/>
        </w:rPr>
        <w:t>in January 2016, now define the development agenda for developing countries over the next fifteen years.</w:t>
      </w:r>
      <w:r w:rsidR="0058049B" w:rsidRPr="009060D4">
        <w:rPr>
          <w:sz w:val="20"/>
          <w:szCs w:val="20"/>
        </w:rPr>
        <w:t xml:space="preserve"> Th</w:t>
      </w:r>
      <w:r w:rsidRPr="009060D4">
        <w:rPr>
          <w:sz w:val="20"/>
          <w:szCs w:val="20"/>
        </w:rPr>
        <w:t>ey</w:t>
      </w:r>
      <w:r w:rsidR="0058049B" w:rsidRPr="009060D4">
        <w:rPr>
          <w:sz w:val="20"/>
          <w:szCs w:val="20"/>
        </w:rPr>
        <w:t xml:space="preserve"> were developed by the international community in close consultation with national stakeholders</w:t>
      </w:r>
      <w:r w:rsidRPr="009060D4">
        <w:rPr>
          <w:sz w:val="20"/>
          <w:szCs w:val="20"/>
        </w:rPr>
        <w:t>.</w:t>
      </w:r>
      <w:r w:rsidR="00CB3F15" w:rsidRPr="009060D4">
        <w:rPr>
          <w:sz w:val="20"/>
          <w:szCs w:val="20"/>
        </w:rPr>
        <w:t xml:space="preserve"> </w:t>
      </w:r>
      <w:r w:rsidR="0065534E" w:rsidRPr="009060D4">
        <w:rPr>
          <w:sz w:val="20"/>
          <w:szCs w:val="20"/>
        </w:rPr>
        <w:t>The 17 goals of the SDGs are ambitious and comprehensive, and cover social, economic development, and environmental outcomes</w:t>
      </w:r>
      <w:r w:rsidR="00571CB2" w:rsidRPr="009060D4">
        <w:rPr>
          <w:sz w:val="20"/>
          <w:szCs w:val="20"/>
        </w:rPr>
        <w:t xml:space="preserve"> (Figure 1)</w:t>
      </w:r>
      <w:r w:rsidR="009060D4" w:rsidRPr="009060D4">
        <w:rPr>
          <w:sz w:val="20"/>
          <w:szCs w:val="20"/>
        </w:rPr>
        <w:t xml:space="preserve">. </w:t>
      </w:r>
    </w:p>
    <w:p w:rsidR="009060D4" w:rsidRPr="00D056AF" w:rsidRDefault="009060D4" w:rsidP="009060D4">
      <w:pPr>
        <w:spacing w:after="0" w:line="240" w:lineRule="auto"/>
        <w:jc w:val="both"/>
        <w:rPr>
          <w:sz w:val="20"/>
          <w:szCs w:val="20"/>
        </w:rPr>
      </w:pPr>
    </w:p>
    <w:p w:rsidR="00D473FC" w:rsidRPr="00D056AF" w:rsidRDefault="000C2572" w:rsidP="00C770EF">
      <w:pPr>
        <w:tabs>
          <w:tab w:val="left" w:pos="2340"/>
        </w:tabs>
        <w:spacing w:after="0" w:line="240" w:lineRule="auto"/>
        <w:jc w:val="both"/>
        <w:rPr>
          <w:b/>
          <w:sz w:val="20"/>
          <w:szCs w:val="20"/>
        </w:rPr>
      </w:pPr>
      <w:r w:rsidRPr="00D056AF">
        <w:rPr>
          <w:b/>
          <w:sz w:val="20"/>
          <w:szCs w:val="20"/>
        </w:rPr>
        <w:t>Figure 1: The Sustainable Development Goals, 2016-30.</w:t>
      </w:r>
    </w:p>
    <w:p w:rsidR="000C2572" w:rsidRPr="00D056AF" w:rsidRDefault="000C2572" w:rsidP="00571CB2">
      <w:pPr>
        <w:tabs>
          <w:tab w:val="left" w:pos="2340"/>
        </w:tabs>
        <w:spacing w:after="0" w:line="240" w:lineRule="auto"/>
        <w:jc w:val="both"/>
        <w:rPr>
          <w:sz w:val="20"/>
          <w:szCs w:val="20"/>
        </w:rPr>
      </w:pPr>
      <w:r w:rsidRPr="00D056AF">
        <w:rPr>
          <w:noProof/>
          <w:sz w:val="20"/>
          <w:szCs w:val="20"/>
        </w:rPr>
        <w:drawing>
          <wp:inline distT="0" distB="0" distL="0" distR="0" wp14:anchorId="63110D36" wp14:editId="55A65E79">
            <wp:extent cx="5927834" cy="3331210"/>
            <wp:effectExtent l="19050" t="19050" r="15875" b="215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4853" cy="3374492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90078" w:rsidRPr="00F408F2" w:rsidRDefault="00990078" w:rsidP="00990078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>Source:</w:t>
      </w:r>
      <w:r w:rsidRPr="00990078">
        <w:rPr>
          <w:sz w:val="20"/>
          <w:szCs w:val="20"/>
        </w:rPr>
        <w:t xml:space="preserve"> </w:t>
      </w:r>
      <w:hyperlink r:id="rId8" w:history="1">
        <w:r w:rsidRPr="00E64826">
          <w:rPr>
            <w:rStyle w:val="Hyperlink"/>
            <w:sz w:val="20"/>
            <w:szCs w:val="20"/>
          </w:rPr>
          <w:t>www.un.org/sustainabledevelopment/sustainable-development-goals</w:t>
        </w:r>
      </w:hyperlink>
      <w:r>
        <w:rPr>
          <w:sz w:val="20"/>
          <w:szCs w:val="20"/>
        </w:rPr>
        <w:t xml:space="preserve"> (Accessed December, 2015)</w:t>
      </w:r>
    </w:p>
    <w:p w:rsidR="000C2572" w:rsidRDefault="000C2572" w:rsidP="00C770EF">
      <w:pPr>
        <w:tabs>
          <w:tab w:val="left" w:pos="2340"/>
        </w:tabs>
        <w:spacing w:after="0" w:line="240" w:lineRule="auto"/>
        <w:jc w:val="both"/>
        <w:rPr>
          <w:sz w:val="20"/>
          <w:szCs w:val="20"/>
        </w:rPr>
      </w:pPr>
    </w:p>
    <w:p w:rsidR="009060D4" w:rsidRDefault="009060D4" w:rsidP="009060D4">
      <w:pPr>
        <w:spacing w:after="0" w:line="240" w:lineRule="auto"/>
        <w:ind w:firstLine="720"/>
        <w:jc w:val="both"/>
        <w:rPr>
          <w:sz w:val="20"/>
          <w:szCs w:val="20"/>
        </w:rPr>
      </w:pPr>
      <w:r w:rsidRPr="009060D4">
        <w:rPr>
          <w:rFonts w:ascii="Times New Roman" w:hAnsi="Times New Roman" w:cs="Times New Roman"/>
          <w:i/>
          <w:sz w:val="20"/>
          <w:szCs w:val="20"/>
        </w:rPr>
        <w:t>Inter alia</w:t>
      </w:r>
      <w:r w:rsidRPr="009060D4">
        <w:rPr>
          <w:rFonts w:ascii="Times New Roman" w:hAnsi="Times New Roman" w:cs="Times New Roman"/>
          <w:sz w:val="20"/>
          <w:szCs w:val="20"/>
        </w:rPr>
        <w:t xml:space="preserve">, these outcomes include: ending poverty and hunger; achieving food security and sustained agricultural development; promoting inclusive (pro-poor) economic growth, sustainable development, and full employment; building resilience against natural and external shocks; ensuring greater equity and fairness in education, income distribution, and among women and girls; making cities and communities inclusive, safe, reliant and sustainable; combating the effects of climate change; protecting and conserving natural resources and ecosystems; ensuring access to essential services such as health, water, sanitation and energy; and revitalizing and strengthening global partnerships for sustainable development. These are outcomes that </w:t>
      </w:r>
      <w:r>
        <w:rPr>
          <w:rFonts w:ascii="Times New Roman" w:hAnsi="Times New Roman" w:cs="Times New Roman"/>
          <w:sz w:val="20"/>
          <w:szCs w:val="20"/>
        </w:rPr>
        <w:t>Caribbean countries have</w:t>
      </w:r>
      <w:r w:rsidRPr="009060D4">
        <w:rPr>
          <w:rFonts w:ascii="Times New Roman" w:hAnsi="Times New Roman" w:cs="Times New Roman"/>
          <w:sz w:val="20"/>
          <w:szCs w:val="20"/>
        </w:rPr>
        <w:t xml:space="preserve"> been seeking since </w:t>
      </w:r>
      <w:r w:rsidRPr="009060D4">
        <w:rPr>
          <w:rFonts w:ascii="Times New Roman" w:hAnsi="Times New Roman" w:cs="Times New Roman"/>
          <w:sz w:val="20"/>
          <w:szCs w:val="20"/>
        </w:rPr>
        <w:lastRenderedPageBreak/>
        <w:t xml:space="preserve">independence. Moreover, the SDGs promise a truly transformative development agenda that is both universal and adaptable to country-specific conditions. So programs to achieve the SDGs can be designed to address the root or structural causes that have constrained development in </w:t>
      </w:r>
      <w:r>
        <w:rPr>
          <w:rFonts w:ascii="Times New Roman" w:hAnsi="Times New Roman" w:cs="Times New Roman"/>
          <w:sz w:val="20"/>
          <w:szCs w:val="20"/>
        </w:rPr>
        <w:t>the region</w:t>
      </w:r>
      <w:r w:rsidRPr="009060D4">
        <w:rPr>
          <w:rFonts w:ascii="Times New Roman" w:hAnsi="Times New Roman" w:cs="Times New Roman"/>
          <w:sz w:val="20"/>
          <w:szCs w:val="20"/>
        </w:rPr>
        <w:t xml:space="preserve">. </w:t>
      </w:r>
      <w:r w:rsidRPr="009060D4">
        <w:rPr>
          <w:sz w:val="20"/>
          <w:szCs w:val="20"/>
        </w:rPr>
        <w:t xml:space="preserve">These SDGs therefore provide a good opportunity for </w:t>
      </w:r>
      <w:r>
        <w:rPr>
          <w:sz w:val="20"/>
          <w:szCs w:val="20"/>
        </w:rPr>
        <w:t xml:space="preserve">Caribbean countries </w:t>
      </w:r>
      <w:r w:rsidRPr="009060D4">
        <w:rPr>
          <w:sz w:val="20"/>
          <w:szCs w:val="20"/>
        </w:rPr>
        <w:t xml:space="preserve">to improve on </w:t>
      </w:r>
      <w:r w:rsidR="00BA50B8">
        <w:rPr>
          <w:sz w:val="20"/>
          <w:szCs w:val="20"/>
        </w:rPr>
        <w:t>their</w:t>
      </w:r>
      <w:r w:rsidRPr="009060D4">
        <w:rPr>
          <w:sz w:val="20"/>
          <w:szCs w:val="20"/>
        </w:rPr>
        <w:t xml:space="preserve"> development trajector</w:t>
      </w:r>
      <w:r w:rsidR="00BA50B8">
        <w:rPr>
          <w:sz w:val="20"/>
          <w:szCs w:val="20"/>
        </w:rPr>
        <w:t>ies</w:t>
      </w:r>
      <w:r w:rsidRPr="009060D4">
        <w:rPr>
          <w:sz w:val="20"/>
          <w:szCs w:val="20"/>
        </w:rPr>
        <w:t xml:space="preserve">. Moreover, established </w:t>
      </w:r>
      <w:r w:rsidR="00BA50B8">
        <w:rPr>
          <w:sz w:val="20"/>
          <w:szCs w:val="20"/>
        </w:rPr>
        <w:t xml:space="preserve">national development plans, </w:t>
      </w:r>
      <w:r w:rsidRPr="009060D4">
        <w:rPr>
          <w:sz w:val="20"/>
          <w:szCs w:val="20"/>
        </w:rPr>
        <w:t xml:space="preserve">agricultural and food systems </w:t>
      </w:r>
      <w:r w:rsidR="00BA50B8">
        <w:rPr>
          <w:sz w:val="20"/>
          <w:szCs w:val="20"/>
        </w:rPr>
        <w:t>and other development-oriented plans,</w:t>
      </w:r>
      <w:r w:rsidRPr="009060D4">
        <w:rPr>
          <w:sz w:val="20"/>
          <w:szCs w:val="20"/>
        </w:rPr>
        <w:t xml:space="preserve"> will provide the framework</w:t>
      </w:r>
      <w:r w:rsidR="00BA50B8">
        <w:rPr>
          <w:sz w:val="20"/>
          <w:szCs w:val="20"/>
        </w:rPr>
        <w:t xml:space="preserve"> and platform</w:t>
      </w:r>
      <w:r w:rsidRPr="009060D4">
        <w:rPr>
          <w:sz w:val="20"/>
          <w:szCs w:val="20"/>
        </w:rPr>
        <w:t xml:space="preserve"> </w:t>
      </w:r>
      <w:r w:rsidR="00BA50B8">
        <w:rPr>
          <w:sz w:val="20"/>
          <w:szCs w:val="20"/>
        </w:rPr>
        <w:t xml:space="preserve">to </w:t>
      </w:r>
      <w:r w:rsidRPr="009060D4">
        <w:rPr>
          <w:sz w:val="20"/>
          <w:szCs w:val="20"/>
        </w:rPr>
        <w:t>attract SDGs-resources</w:t>
      </w:r>
      <w:bookmarkStart w:id="0" w:name="_GoBack"/>
      <w:bookmarkEnd w:id="0"/>
      <w:r w:rsidRPr="009060D4">
        <w:rPr>
          <w:sz w:val="20"/>
          <w:szCs w:val="20"/>
        </w:rPr>
        <w:t xml:space="preserve"> to implement specific actions for </w:t>
      </w:r>
      <w:r w:rsidR="00BA50B8">
        <w:rPr>
          <w:sz w:val="20"/>
          <w:szCs w:val="20"/>
        </w:rPr>
        <w:t>sustainable development.</w:t>
      </w:r>
      <w:r w:rsidRPr="009060D4">
        <w:rPr>
          <w:sz w:val="20"/>
          <w:szCs w:val="20"/>
        </w:rPr>
        <w:t xml:space="preserve"> </w:t>
      </w:r>
    </w:p>
    <w:p w:rsidR="009060D4" w:rsidRPr="009060D4" w:rsidRDefault="009060D4" w:rsidP="009060D4">
      <w:pPr>
        <w:spacing w:after="0" w:line="240" w:lineRule="auto"/>
        <w:ind w:firstLine="720"/>
        <w:jc w:val="both"/>
        <w:rPr>
          <w:sz w:val="20"/>
          <w:szCs w:val="20"/>
        </w:rPr>
      </w:pPr>
    </w:p>
    <w:p w:rsidR="009060D4" w:rsidRPr="00D056AF" w:rsidRDefault="009060D4" w:rsidP="009060D4">
      <w:pPr>
        <w:spacing w:after="0" w:line="240" w:lineRule="auto"/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CARICOM countries have made much social and economic progress since independence. But they still face severe developmental challenges, including low economic growth; high unemployment, especially among youths; a national debt that is a drag on the economy; a high food import bill; high income inequality; significant threats to </w:t>
      </w:r>
      <w:r>
        <w:rPr>
          <w:sz w:val="20"/>
          <w:szCs w:val="20"/>
        </w:rPr>
        <w:t xml:space="preserve">food security and </w:t>
      </w:r>
      <w:r w:rsidRPr="00D056AF">
        <w:rPr>
          <w:sz w:val="20"/>
          <w:szCs w:val="20"/>
        </w:rPr>
        <w:t xml:space="preserve">traditional export-agriculture; and high rates of poverty (FAO, 2015). These are compelling reasons to embrace the SDGs. But most important, despite the economic progress, sustainable development (i.e., </w:t>
      </w:r>
      <w:r>
        <w:rPr>
          <w:sz w:val="20"/>
          <w:szCs w:val="20"/>
        </w:rPr>
        <w:t xml:space="preserve">good governance, </w:t>
      </w:r>
      <w:r w:rsidRPr="00D056AF">
        <w:rPr>
          <w:sz w:val="20"/>
          <w:szCs w:val="20"/>
        </w:rPr>
        <w:t xml:space="preserve">inclusive economic growth, building a resilient environment, and promoting social inclusion), and economic transformation have eluded these countries in the post-independence era. The SDGs therefore present a timely opportunity for these countries to successfully advance along this sustainable and transformative developmental path, and to effectively address </w:t>
      </w:r>
      <w:r>
        <w:rPr>
          <w:sz w:val="20"/>
          <w:szCs w:val="20"/>
        </w:rPr>
        <w:t>their</w:t>
      </w:r>
      <w:r w:rsidRPr="00D056AF">
        <w:rPr>
          <w:sz w:val="20"/>
          <w:szCs w:val="20"/>
        </w:rPr>
        <w:t xml:space="preserve"> current developmental challenges. </w:t>
      </w:r>
    </w:p>
    <w:p w:rsidR="009060D4" w:rsidRPr="00D056AF" w:rsidRDefault="009060D4" w:rsidP="00C770EF">
      <w:pPr>
        <w:tabs>
          <w:tab w:val="left" w:pos="2340"/>
        </w:tabs>
        <w:spacing w:after="0" w:line="240" w:lineRule="auto"/>
        <w:jc w:val="both"/>
        <w:rPr>
          <w:sz w:val="20"/>
          <w:szCs w:val="20"/>
        </w:rPr>
      </w:pPr>
    </w:p>
    <w:p w:rsidR="00D951B4" w:rsidRPr="00D056AF" w:rsidRDefault="00CB3F15" w:rsidP="008F6F7A">
      <w:pPr>
        <w:spacing w:after="0" w:line="240" w:lineRule="auto"/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But </w:t>
      </w:r>
      <w:r w:rsidR="003E3DDE" w:rsidRPr="00D056AF">
        <w:rPr>
          <w:sz w:val="20"/>
          <w:szCs w:val="20"/>
        </w:rPr>
        <w:t xml:space="preserve">the region’s </w:t>
      </w:r>
      <w:r w:rsidR="006A2CFD" w:rsidRPr="00D056AF">
        <w:rPr>
          <w:sz w:val="20"/>
          <w:szCs w:val="20"/>
        </w:rPr>
        <w:t>leaders</w:t>
      </w:r>
      <w:r w:rsidR="003E3DDE" w:rsidRPr="00D056AF">
        <w:rPr>
          <w:sz w:val="20"/>
          <w:szCs w:val="20"/>
        </w:rPr>
        <w:t>,</w:t>
      </w:r>
      <w:r w:rsidR="006A2CFD" w:rsidRPr="00D056AF">
        <w:rPr>
          <w:sz w:val="20"/>
          <w:szCs w:val="20"/>
        </w:rPr>
        <w:t xml:space="preserve"> policy makers </w:t>
      </w:r>
      <w:r w:rsidR="0055727F" w:rsidRPr="00D056AF">
        <w:rPr>
          <w:sz w:val="20"/>
          <w:szCs w:val="20"/>
        </w:rPr>
        <w:t xml:space="preserve">and the private sector </w:t>
      </w:r>
      <w:r w:rsidR="006A2CFD" w:rsidRPr="00D056AF">
        <w:rPr>
          <w:sz w:val="20"/>
          <w:szCs w:val="20"/>
        </w:rPr>
        <w:t>will</w:t>
      </w:r>
      <w:r w:rsidRPr="00D056AF">
        <w:rPr>
          <w:sz w:val="20"/>
          <w:szCs w:val="20"/>
        </w:rPr>
        <w:t xml:space="preserve"> </w:t>
      </w:r>
      <w:r w:rsidR="00D056AF">
        <w:rPr>
          <w:sz w:val="20"/>
          <w:szCs w:val="20"/>
        </w:rPr>
        <w:t>have to act now</w:t>
      </w:r>
      <w:r w:rsidR="00BA50B8">
        <w:rPr>
          <w:sz w:val="20"/>
          <w:szCs w:val="20"/>
        </w:rPr>
        <w:t>,</w:t>
      </w:r>
      <w:r w:rsidR="00D056AF">
        <w:rPr>
          <w:sz w:val="20"/>
          <w:szCs w:val="20"/>
        </w:rPr>
        <w:t xml:space="preserve"> and aggressively. Moreover, they will </w:t>
      </w:r>
      <w:r w:rsidRPr="00D056AF">
        <w:rPr>
          <w:sz w:val="20"/>
          <w:szCs w:val="20"/>
        </w:rPr>
        <w:t xml:space="preserve">need a particular mindset if they want to reap the full </w:t>
      </w:r>
      <w:r w:rsidR="006A2CFD" w:rsidRPr="00D056AF">
        <w:rPr>
          <w:sz w:val="20"/>
          <w:szCs w:val="20"/>
        </w:rPr>
        <w:t>benefits</w:t>
      </w:r>
      <w:r w:rsidRPr="00D056AF">
        <w:rPr>
          <w:sz w:val="20"/>
          <w:szCs w:val="20"/>
        </w:rPr>
        <w:t xml:space="preserve"> of these SDGs. This mindset has to vision developmental outcomes that build upon, but transcend what </w:t>
      </w:r>
      <w:r w:rsidR="003E3DDE" w:rsidRPr="00D056AF">
        <w:rPr>
          <w:sz w:val="20"/>
          <w:szCs w:val="20"/>
        </w:rPr>
        <w:t>these countries have</w:t>
      </w:r>
      <w:r w:rsidR="0006601C" w:rsidRPr="00D056AF">
        <w:rPr>
          <w:sz w:val="20"/>
          <w:szCs w:val="20"/>
        </w:rPr>
        <w:t xml:space="preserve"> </w:t>
      </w:r>
      <w:r w:rsidRPr="00D056AF">
        <w:rPr>
          <w:sz w:val="20"/>
          <w:szCs w:val="20"/>
        </w:rPr>
        <w:t xml:space="preserve">achieved since independence. It must countenance where countries such as the “Asian Tigers” are today compared to where they were in the 1960s when most developing countries, including </w:t>
      </w:r>
      <w:r w:rsidR="003E3DDE" w:rsidRPr="00D056AF">
        <w:rPr>
          <w:sz w:val="20"/>
          <w:szCs w:val="20"/>
        </w:rPr>
        <w:t>those in CARICOM</w:t>
      </w:r>
      <w:r w:rsidRPr="00D056AF">
        <w:rPr>
          <w:sz w:val="20"/>
          <w:szCs w:val="20"/>
        </w:rPr>
        <w:t xml:space="preserve">, were at similar levels of development, and be guided </w:t>
      </w:r>
      <w:r w:rsidR="001D62E7" w:rsidRPr="00D056AF">
        <w:rPr>
          <w:sz w:val="20"/>
          <w:szCs w:val="20"/>
        </w:rPr>
        <w:t xml:space="preserve">by the actions and omissions </w:t>
      </w:r>
      <w:r w:rsidRPr="00D056AF">
        <w:rPr>
          <w:sz w:val="20"/>
          <w:szCs w:val="20"/>
        </w:rPr>
        <w:t xml:space="preserve">from that development experience. </w:t>
      </w:r>
      <w:r w:rsidR="0001448B" w:rsidRPr="00D056AF">
        <w:rPr>
          <w:sz w:val="20"/>
          <w:szCs w:val="20"/>
        </w:rPr>
        <w:t>There</w:t>
      </w:r>
      <w:r w:rsidR="00D951B4" w:rsidRPr="00D056AF">
        <w:rPr>
          <w:sz w:val="20"/>
          <w:szCs w:val="20"/>
        </w:rPr>
        <w:t xml:space="preserve"> should be no compelling reasons </w:t>
      </w:r>
      <w:r w:rsidR="0073635D" w:rsidRPr="00D056AF">
        <w:rPr>
          <w:sz w:val="20"/>
          <w:szCs w:val="20"/>
        </w:rPr>
        <w:t>for</w:t>
      </w:r>
      <w:r w:rsidR="00D951B4" w:rsidRPr="00D056AF">
        <w:rPr>
          <w:sz w:val="20"/>
          <w:szCs w:val="20"/>
        </w:rPr>
        <w:t xml:space="preserve"> poverty, high income inequality, food insecurity, high unemployment, </w:t>
      </w:r>
      <w:r w:rsidR="003E3DDE" w:rsidRPr="00D056AF">
        <w:rPr>
          <w:sz w:val="20"/>
          <w:szCs w:val="20"/>
        </w:rPr>
        <w:t xml:space="preserve">and </w:t>
      </w:r>
      <w:r w:rsidR="00D951B4" w:rsidRPr="00D056AF">
        <w:rPr>
          <w:sz w:val="20"/>
          <w:szCs w:val="20"/>
        </w:rPr>
        <w:t xml:space="preserve">non-inclusive economic growth, </w:t>
      </w:r>
      <w:r w:rsidR="007053FD" w:rsidRPr="00D056AF">
        <w:rPr>
          <w:sz w:val="20"/>
          <w:szCs w:val="20"/>
        </w:rPr>
        <w:t>to</w:t>
      </w:r>
      <w:r w:rsidR="00D951B4" w:rsidRPr="00D056AF">
        <w:rPr>
          <w:sz w:val="20"/>
          <w:szCs w:val="20"/>
        </w:rPr>
        <w:t xml:space="preserve"> be the enduring characteristics of th</w:t>
      </w:r>
      <w:r w:rsidR="003E3DDE" w:rsidRPr="00D056AF">
        <w:rPr>
          <w:sz w:val="20"/>
          <w:szCs w:val="20"/>
        </w:rPr>
        <w:t>ese countries</w:t>
      </w:r>
      <w:r w:rsidR="0001448B" w:rsidRPr="00D056AF">
        <w:rPr>
          <w:sz w:val="20"/>
          <w:szCs w:val="20"/>
        </w:rPr>
        <w:t>.</w:t>
      </w:r>
      <w:r w:rsidR="00D951B4" w:rsidRPr="00D056AF">
        <w:rPr>
          <w:sz w:val="20"/>
          <w:szCs w:val="20"/>
        </w:rPr>
        <w:t xml:space="preserve"> </w:t>
      </w:r>
      <w:r w:rsidR="003E3DDE" w:rsidRPr="00D056AF">
        <w:rPr>
          <w:sz w:val="20"/>
          <w:szCs w:val="20"/>
        </w:rPr>
        <w:t>Leaders and policy makers</w:t>
      </w:r>
      <w:r w:rsidR="0006601C" w:rsidRPr="00D056AF">
        <w:rPr>
          <w:sz w:val="20"/>
          <w:szCs w:val="20"/>
        </w:rPr>
        <w:t xml:space="preserve"> must</w:t>
      </w:r>
      <w:r w:rsidR="00D951B4" w:rsidRPr="00D056AF">
        <w:rPr>
          <w:sz w:val="20"/>
          <w:szCs w:val="20"/>
        </w:rPr>
        <w:t xml:space="preserve"> envision a society that is prosperous, politically stable, and provides the citizenry with a sense of inclusiveness and ownership to the process and fruits of development. </w:t>
      </w:r>
    </w:p>
    <w:p w:rsidR="000408B5" w:rsidRPr="00D056AF" w:rsidRDefault="000408B5" w:rsidP="00CB3F15">
      <w:pPr>
        <w:spacing w:after="0" w:line="240" w:lineRule="auto"/>
        <w:jc w:val="both"/>
        <w:rPr>
          <w:sz w:val="20"/>
          <w:szCs w:val="20"/>
        </w:rPr>
      </w:pPr>
    </w:p>
    <w:p w:rsidR="000408B5" w:rsidRPr="00D056AF" w:rsidRDefault="00CB3F15" w:rsidP="008F6F7A">
      <w:pPr>
        <w:spacing w:after="0" w:line="240" w:lineRule="auto"/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The SDGs </w:t>
      </w:r>
      <w:r w:rsidR="0073635D" w:rsidRPr="00D056AF">
        <w:rPr>
          <w:sz w:val="20"/>
          <w:szCs w:val="20"/>
        </w:rPr>
        <w:t>were</w:t>
      </w:r>
      <w:r w:rsidRPr="00D056AF">
        <w:rPr>
          <w:sz w:val="20"/>
          <w:szCs w:val="20"/>
        </w:rPr>
        <w:t xml:space="preserve"> framed within the context of commitments by the </w:t>
      </w:r>
      <w:r w:rsidR="00D951B4" w:rsidRPr="00D056AF">
        <w:rPr>
          <w:sz w:val="20"/>
          <w:szCs w:val="20"/>
        </w:rPr>
        <w:t>international</w:t>
      </w:r>
      <w:r w:rsidRPr="00D056AF">
        <w:rPr>
          <w:sz w:val="20"/>
          <w:szCs w:val="20"/>
        </w:rPr>
        <w:t xml:space="preserve"> community to provide much needed resources for countries to achieve these goals. </w:t>
      </w:r>
      <w:r w:rsidR="006020A0" w:rsidRPr="00D056AF">
        <w:rPr>
          <w:sz w:val="20"/>
          <w:szCs w:val="20"/>
        </w:rPr>
        <w:t xml:space="preserve">But </w:t>
      </w:r>
      <w:r w:rsidR="000408B5" w:rsidRPr="00D056AF">
        <w:rPr>
          <w:sz w:val="20"/>
          <w:szCs w:val="20"/>
        </w:rPr>
        <w:t>50-80 % of financing the SDGs will have to come from domestic resource mobilization (DRM)</w:t>
      </w:r>
      <w:r w:rsidR="00EE7737" w:rsidRPr="00D056AF">
        <w:rPr>
          <w:sz w:val="20"/>
          <w:szCs w:val="20"/>
        </w:rPr>
        <w:t xml:space="preserve">, </w:t>
      </w:r>
      <w:r w:rsidR="008D3E51" w:rsidRPr="00D056AF">
        <w:rPr>
          <w:sz w:val="20"/>
          <w:szCs w:val="20"/>
        </w:rPr>
        <w:t xml:space="preserve">which can be achieved </w:t>
      </w:r>
      <w:r w:rsidR="00D27D06" w:rsidRPr="00D056AF">
        <w:rPr>
          <w:sz w:val="20"/>
          <w:szCs w:val="20"/>
        </w:rPr>
        <w:t>through</w:t>
      </w:r>
      <w:r w:rsidR="00CB756D" w:rsidRPr="00D056AF">
        <w:rPr>
          <w:sz w:val="20"/>
          <w:szCs w:val="20"/>
        </w:rPr>
        <w:t xml:space="preserve"> several ways</w:t>
      </w:r>
      <w:r w:rsidR="00F408F2">
        <w:rPr>
          <w:sz w:val="20"/>
          <w:szCs w:val="20"/>
        </w:rPr>
        <w:t xml:space="preserve"> (World Bank, 2013;</w:t>
      </w:r>
      <w:r w:rsidR="006D109C">
        <w:rPr>
          <w:sz w:val="20"/>
          <w:szCs w:val="20"/>
        </w:rPr>
        <w:t xml:space="preserve"> </w:t>
      </w:r>
      <w:r w:rsidR="00F408F2">
        <w:rPr>
          <w:sz w:val="20"/>
          <w:szCs w:val="20"/>
        </w:rPr>
        <w:t>World Bank/IMF, 2015; Development Initiatives, 2015):</w:t>
      </w:r>
    </w:p>
    <w:p w:rsidR="000408B5" w:rsidRPr="00D056AF" w:rsidRDefault="000408B5" w:rsidP="000408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Increase tax compliance </w:t>
      </w:r>
      <w:r w:rsidR="00990078">
        <w:rPr>
          <w:sz w:val="20"/>
          <w:szCs w:val="20"/>
        </w:rPr>
        <w:t>(</w:t>
      </w:r>
      <w:r w:rsidR="00990078" w:rsidRPr="00990078">
        <w:rPr>
          <w:i/>
          <w:sz w:val="20"/>
          <w:szCs w:val="20"/>
        </w:rPr>
        <w:t>not tax increases</w:t>
      </w:r>
      <w:r w:rsidR="00990078">
        <w:rPr>
          <w:sz w:val="20"/>
          <w:szCs w:val="20"/>
        </w:rPr>
        <w:t xml:space="preserve">), </w:t>
      </w:r>
      <w:r w:rsidRPr="00D056AF">
        <w:rPr>
          <w:sz w:val="20"/>
          <w:szCs w:val="20"/>
        </w:rPr>
        <w:t>and strengthen tax administration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Ensure </w:t>
      </w:r>
      <w:r w:rsidR="00EE7737" w:rsidRPr="00D056AF">
        <w:rPr>
          <w:sz w:val="20"/>
          <w:szCs w:val="20"/>
        </w:rPr>
        <w:t>small and medium size businesses</w:t>
      </w:r>
      <w:r w:rsidR="00A0648F" w:rsidRPr="00D056AF">
        <w:rPr>
          <w:sz w:val="20"/>
          <w:szCs w:val="20"/>
        </w:rPr>
        <w:t>, property owners,</w:t>
      </w:r>
      <w:r w:rsidR="00EE7737" w:rsidRPr="00D056AF">
        <w:rPr>
          <w:sz w:val="20"/>
          <w:szCs w:val="20"/>
        </w:rPr>
        <w:t xml:space="preserve"> </w:t>
      </w:r>
      <w:r w:rsidRPr="00D056AF">
        <w:rPr>
          <w:sz w:val="20"/>
          <w:szCs w:val="20"/>
        </w:rPr>
        <w:t>and professionals pay their taxes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Reduce illicit</w:t>
      </w:r>
      <w:r w:rsidR="00EE7737" w:rsidRPr="00D056AF">
        <w:rPr>
          <w:sz w:val="20"/>
          <w:szCs w:val="20"/>
        </w:rPr>
        <w:t xml:space="preserve"> financial</w:t>
      </w:r>
      <w:r w:rsidR="003B340A" w:rsidRPr="00D056AF">
        <w:rPr>
          <w:sz w:val="20"/>
          <w:szCs w:val="20"/>
        </w:rPr>
        <w:t xml:space="preserve"> flows </w:t>
      </w:r>
      <w:r w:rsidR="004315B9" w:rsidRPr="00D056AF">
        <w:rPr>
          <w:sz w:val="20"/>
          <w:szCs w:val="20"/>
        </w:rPr>
        <w:t xml:space="preserve">(IFFs), </w:t>
      </w:r>
      <w:r w:rsidR="00ED0377" w:rsidRPr="00D056AF">
        <w:rPr>
          <w:sz w:val="20"/>
          <w:szCs w:val="20"/>
        </w:rPr>
        <w:t xml:space="preserve">currently </w:t>
      </w:r>
      <w:r w:rsidR="003B340A" w:rsidRPr="00D056AF">
        <w:rPr>
          <w:sz w:val="20"/>
          <w:szCs w:val="20"/>
        </w:rPr>
        <w:t>taking place through</w:t>
      </w:r>
      <w:r w:rsidRPr="00D056AF">
        <w:rPr>
          <w:sz w:val="20"/>
          <w:szCs w:val="20"/>
        </w:rPr>
        <w:t xml:space="preserve"> invoic</w:t>
      </w:r>
      <w:r w:rsidR="001D62E7" w:rsidRPr="00D056AF">
        <w:rPr>
          <w:sz w:val="20"/>
          <w:szCs w:val="20"/>
        </w:rPr>
        <w:t>e</w:t>
      </w:r>
      <w:r w:rsidR="009A5F24" w:rsidRPr="00D056AF">
        <w:rPr>
          <w:sz w:val="20"/>
          <w:szCs w:val="20"/>
        </w:rPr>
        <w:t>-manipulation</w:t>
      </w:r>
      <w:r w:rsidR="00E73A4D" w:rsidRPr="00D056AF">
        <w:rPr>
          <w:sz w:val="20"/>
          <w:szCs w:val="20"/>
        </w:rPr>
        <w:t>, under-pay</w:t>
      </w:r>
      <w:r w:rsidR="007053FD" w:rsidRPr="00D056AF">
        <w:rPr>
          <w:sz w:val="20"/>
          <w:szCs w:val="20"/>
        </w:rPr>
        <w:t>ment of</w:t>
      </w:r>
      <w:r w:rsidR="00E73A4D" w:rsidRPr="00D056AF">
        <w:rPr>
          <w:sz w:val="20"/>
          <w:szCs w:val="20"/>
        </w:rPr>
        <w:t xml:space="preserve"> royalties,</w:t>
      </w:r>
      <w:r w:rsidRPr="00D056AF">
        <w:rPr>
          <w:sz w:val="20"/>
          <w:szCs w:val="20"/>
        </w:rPr>
        <w:t xml:space="preserve"> and other vulture-accounting practices</w:t>
      </w:r>
    </w:p>
    <w:p w:rsidR="000408B5" w:rsidRPr="00D056AF" w:rsidRDefault="000408B5" w:rsidP="000408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More efficient ways of public expenditures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Transparent public procurement processes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Greater accountability </w:t>
      </w:r>
      <w:r w:rsidR="00ED0377" w:rsidRPr="00D056AF">
        <w:rPr>
          <w:sz w:val="20"/>
          <w:szCs w:val="20"/>
        </w:rPr>
        <w:t>of</w:t>
      </w:r>
      <w:r w:rsidRPr="00D056AF">
        <w:rPr>
          <w:sz w:val="20"/>
          <w:szCs w:val="20"/>
        </w:rPr>
        <w:t xml:space="preserve"> </w:t>
      </w:r>
      <w:r w:rsidR="001D62E7" w:rsidRPr="00D056AF">
        <w:rPr>
          <w:sz w:val="20"/>
          <w:szCs w:val="20"/>
        </w:rPr>
        <w:t>public-sector</w:t>
      </w:r>
      <w:r w:rsidRPr="00D056AF">
        <w:rPr>
          <w:sz w:val="20"/>
          <w:szCs w:val="20"/>
        </w:rPr>
        <w:t xml:space="preserve"> contracts</w:t>
      </w:r>
    </w:p>
    <w:p w:rsidR="000408B5" w:rsidRPr="00D056AF" w:rsidRDefault="000408B5" w:rsidP="000408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Crowd-in private investments—every dollar invested by the public sector should have a private-sector crowd-in multiplier of </w:t>
      </w:r>
      <w:r w:rsidR="009A5F24" w:rsidRPr="00D056AF">
        <w:rPr>
          <w:sz w:val="20"/>
          <w:szCs w:val="20"/>
        </w:rPr>
        <w:t>4 to 10</w:t>
      </w:r>
      <w:r w:rsidRPr="00D056AF">
        <w:rPr>
          <w:sz w:val="20"/>
          <w:szCs w:val="20"/>
        </w:rPr>
        <w:t xml:space="preserve"> additional dollars in public investments</w:t>
      </w:r>
      <w:r w:rsidR="00E73A4D" w:rsidRPr="00D056AF">
        <w:rPr>
          <w:sz w:val="20"/>
          <w:szCs w:val="20"/>
        </w:rPr>
        <w:t xml:space="preserve"> through: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Blended financing approach—mixing public and private sector returns on investments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 xml:space="preserve">Aggressively engage in </w:t>
      </w:r>
      <w:r w:rsidR="009A5F24" w:rsidRPr="00D056AF">
        <w:rPr>
          <w:sz w:val="20"/>
          <w:szCs w:val="20"/>
        </w:rPr>
        <w:t>public-private-partnerships</w:t>
      </w:r>
      <w:r w:rsidRPr="00D056AF">
        <w:rPr>
          <w:sz w:val="20"/>
          <w:szCs w:val="20"/>
        </w:rPr>
        <w:t xml:space="preserve"> </w:t>
      </w:r>
      <w:r w:rsidR="00E239F1">
        <w:rPr>
          <w:sz w:val="20"/>
          <w:szCs w:val="20"/>
        </w:rPr>
        <w:t xml:space="preserve">(PPP) </w:t>
      </w:r>
      <w:r w:rsidRPr="00D056AF">
        <w:rPr>
          <w:sz w:val="20"/>
          <w:szCs w:val="20"/>
        </w:rPr>
        <w:t>to finance development projects</w:t>
      </w:r>
    </w:p>
    <w:p w:rsidR="000408B5" w:rsidRPr="00D056AF" w:rsidRDefault="000408B5" w:rsidP="000408B5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Segment risks—allocate components of projects to companies according to their ability and willingness for risk-taking</w:t>
      </w:r>
    </w:p>
    <w:p w:rsidR="000408B5" w:rsidRPr="00D056AF" w:rsidRDefault="000408B5" w:rsidP="000408B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Tap into the capital markets where large pools of funds can be raised and mobilized for long-term investments:</w:t>
      </w:r>
    </w:p>
    <w:p w:rsidR="000408B5" w:rsidRPr="00D056AF" w:rsidRDefault="000408B5" w:rsidP="000408B5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Pension funds</w:t>
      </w:r>
      <w:r w:rsidR="009A5F24" w:rsidRPr="00D056AF">
        <w:rPr>
          <w:sz w:val="20"/>
          <w:szCs w:val="20"/>
        </w:rPr>
        <w:t xml:space="preserve">, Trust </w:t>
      </w:r>
      <w:r w:rsidR="001D62E7" w:rsidRPr="00D056AF">
        <w:rPr>
          <w:sz w:val="20"/>
          <w:szCs w:val="20"/>
        </w:rPr>
        <w:t>f</w:t>
      </w:r>
      <w:r w:rsidR="009A5F24" w:rsidRPr="00D056AF">
        <w:rPr>
          <w:sz w:val="20"/>
          <w:szCs w:val="20"/>
        </w:rPr>
        <w:t>unds, etc</w:t>
      </w:r>
      <w:r w:rsidR="001D62E7" w:rsidRPr="00D056AF">
        <w:rPr>
          <w:sz w:val="20"/>
          <w:szCs w:val="20"/>
        </w:rPr>
        <w:t>.</w:t>
      </w:r>
    </w:p>
    <w:p w:rsidR="000408B5" w:rsidRPr="00D056AF" w:rsidRDefault="000408B5" w:rsidP="000408B5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Engage/establish bond markets</w:t>
      </w:r>
      <w:r w:rsidR="00CB756D" w:rsidRPr="00D056AF">
        <w:rPr>
          <w:sz w:val="20"/>
          <w:szCs w:val="20"/>
        </w:rPr>
        <w:t xml:space="preserve"> such as</w:t>
      </w:r>
      <w:r w:rsidRPr="00D056AF">
        <w:rPr>
          <w:sz w:val="20"/>
          <w:szCs w:val="20"/>
        </w:rPr>
        <w:t>:</w:t>
      </w:r>
    </w:p>
    <w:p w:rsidR="000408B5" w:rsidRPr="00D056AF" w:rsidRDefault="000408B5" w:rsidP="000408B5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Infrastructure bonds</w:t>
      </w:r>
    </w:p>
    <w:p w:rsidR="000408B5" w:rsidRPr="00D056AF" w:rsidRDefault="000408B5" w:rsidP="000408B5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Green bonds—for building resilience , reducing carbon-foot-prints and sustainable development</w:t>
      </w:r>
    </w:p>
    <w:p w:rsidR="009A5F24" w:rsidRPr="00D056AF" w:rsidRDefault="009A5F24" w:rsidP="00940FF6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Thematic bonds f</w:t>
      </w:r>
      <w:r w:rsidR="000408B5" w:rsidRPr="00D056AF">
        <w:rPr>
          <w:sz w:val="20"/>
          <w:szCs w:val="20"/>
        </w:rPr>
        <w:t xml:space="preserve">or </w:t>
      </w:r>
      <w:r w:rsidR="004550C3" w:rsidRPr="00D056AF">
        <w:rPr>
          <w:sz w:val="20"/>
          <w:szCs w:val="20"/>
        </w:rPr>
        <w:t>h</w:t>
      </w:r>
      <w:r w:rsidR="000408B5" w:rsidRPr="00D056AF">
        <w:rPr>
          <w:sz w:val="20"/>
          <w:szCs w:val="20"/>
        </w:rPr>
        <w:t xml:space="preserve">ealth, </w:t>
      </w:r>
      <w:r w:rsidR="004550C3" w:rsidRPr="00D056AF">
        <w:rPr>
          <w:sz w:val="20"/>
          <w:szCs w:val="20"/>
        </w:rPr>
        <w:t>e</w:t>
      </w:r>
      <w:r w:rsidR="000408B5" w:rsidRPr="00D056AF">
        <w:rPr>
          <w:sz w:val="20"/>
          <w:szCs w:val="20"/>
        </w:rPr>
        <w:t xml:space="preserve">ducation, </w:t>
      </w:r>
      <w:r w:rsidR="004550C3" w:rsidRPr="00D056AF">
        <w:rPr>
          <w:sz w:val="20"/>
          <w:szCs w:val="20"/>
        </w:rPr>
        <w:t>y</w:t>
      </w:r>
      <w:r w:rsidR="000408B5" w:rsidRPr="00D056AF">
        <w:rPr>
          <w:sz w:val="20"/>
          <w:szCs w:val="20"/>
        </w:rPr>
        <w:t xml:space="preserve">outh </w:t>
      </w:r>
      <w:r w:rsidR="004550C3" w:rsidRPr="00D056AF">
        <w:rPr>
          <w:sz w:val="20"/>
          <w:szCs w:val="20"/>
        </w:rPr>
        <w:t>d</w:t>
      </w:r>
      <w:r w:rsidR="000408B5" w:rsidRPr="00D056AF">
        <w:rPr>
          <w:sz w:val="20"/>
          <w:szCs w:val="20"/>
        </w:rPr>
        <w:t xml:space="preserve">evelopment, </w:t>
      </w:r>
      <w:r w:rsidR="004550C3" w:rsidRPr="00D056AF">
        <w:rPr>
          <w:sz w:val="20"/>
          <w:szCs w:val="20"/>
        </w:rPr>
        <w:t>e</w:t>
      </w:r>
      <w:r w:rsidRPr="00D056AF">
        <w:rPr>
          <w:sz w:val="20"/>
          <w:szCs w:val="20"/>
        </w:rPr>
        <w:t>mployment generation, etc.</w:t>
      </w:r>
    </w:p>
    <w:p w:rsidR="000408B5" w:rsidRPr="00D056AF" w:rsidRDefault="000408B5" w:rsidP="00940FF6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Catastrophic bonds—to address natural disasters, etc.</w:t>
      </w:r>
    </w:p>
    <w:p w:rsidR="009A5F24" w:rsidRPr="00D056AF" w:rsidRDefault="009A5F24" w:rsidP="00940FF6">
      <w:pPr>
        <w:pStyle w:val="ListParagraph"/>
        <w:numPr>
          <w:ilvl w:val="2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Diaspora bonds</w:t>
      </w:r>
    </w:p>
    <w:p w:rsidR="000408B5" w:rsidRPr="00D056AF" w:rsidRDefault="000408B5" w:rsidP="000408B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Cross-border financing</w:t>
      </w:r>
    </w:p>
    <w:p w:rsidR="000408B5" w:rsidRPr="00D056AF" w:rsidRDefault="000408B5" w:rsidP="000408B5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sz w:val="20"/>
          <w:szCs w:val="20"/>
        </w:rPr>
      </w:pPr>
      <w:r w:rsidRPr="00D056AF">
        <w:rPr>
          <w:sz w:val="20"/>
          <w:szCs w:val="20"/>
        </w:rPr>
        <w:lastRenderedPageBreak/>
        <w:t xml:space="preserve">Establish alliances </w:t>
      </w:r>
      <w:r w:rsidR="00D27D06" w:rsidRPr="00D056AF">
        <w:rPr>
          <w:sz w:val="20"/>
          <w:szCs w:val="20"/>
        </w:rPr>
        <w:t>with other</w:t>
      </w:r>
      <w:r w:rsidRPr="00D056AF">
        <w:rPr>
          <w:sz w:val="20"/>
          <w:szCs w:val="20"/>
        </w:rPr>
        <w:t xml:space="preserve"> CARICOM countries to integrate capital markets as is the case of the Pacific Alliance (Columbia with Mexico, Peru, and Chile)  </w:t>
      </w:r>
    </w:p>
    <w:p w:rsidR="000408B5" w:rsidRPr="00D056AF" w:rsidRDefault="000408B5" w:rsidP="000408B5">
      <w:pPr>
        <w:spacing w:after="0" w:line="240" w:lineRule="auto"/>
        <w:jc w:val="both"/>
        <w:rPr>
          <w:sz w:val="20"/>
          <w:szCs w:val="20"/>
        </w:rPr>
      </w:pPr>
    </w:p>
    <w:p w:rsidR="000408B5" w:rsidRPr="00D056AF" w:rsidRDefault="009A5F24" w:rsidP="008F6F7A">
      <w:pPr>
        <w:spacing w:after="0" w:line="240" w:lineRule="auto"/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Among other things,</w:t>
      </w:r>
      <w:r w:rsidR="000408B5" w:rsidRPr="00D056AF">
        <w:rPr>
          <w:sz w:val="20"/>
          <w:szCs w:val="20"/>
        </w:rPr>
        <w:t xml:space="preserve"> two pre-conditions are absolutely necessary to support </w:t>
      </w:r>
      <w:r w:rsidR="00296114" w:rsidRPr="00D056AF">
        <w:rPr>
          <w:sz w:val="20"/>
          <w:szCs w:val="20"/>
        </w:rPr>
        <w:t>investments for the SDGs</w:t>
      </w:r>
      <w:r w:rsidR="001D62E7" w:rsidRPr="00D056AF">
        <w:rPr>
          <w:sz w:val="20"/>
          <w:szCs w:val="20"/>
        </w:rPr>
        <w:t>. First, a</w:t>
      </w:r>
      <w:r w:rsidR="000408B5" w:rsidRPr="00D056AF">
        <w:rPr>
          <w:sz w:val="20"/>
          <w:szCs w:val="20"/>
        </w:rPr>
        <w:t>n economic</w:t>
      </w:r>
      <w:r w:rsidR="00462B8E" w:rsidRPr="00D056AF">
        <w:rPr>
          <w:sz w:val="20"/>
          <w:szCs w:val="20"/>
        </w:rPr>
        <w:t>, regulatory</w:t>
      </w:r>
      <w:r w:rsidR="000408B5" w:rsidRPr="00D056AF">
        <w:rPr>
          <w:sz w:val="20"/>
          <w:szCs w:val="20"/>
        </w:rPr>
        <w:t xml:space="preserve"> </w:t>
      </w:r>
      <w:r w:rsidR="00462B8E" w:rsidRPr="00D056AF">
        <w:rPr>
          <w:sz w:val="20"/>
          <w:szCs w:val="20"/>
        </w:rPr>
        <w:t xml:space="preserve">and predictable investment </w:t>
      </w:r>
      <w:r w:rsidR="00867476" w:rsidRPr="00D056AF">
        <w:rPr>
          <w:sz w:val="20"/>
          <w:szCs w:val="20"/>
        </w:rPr>
        <w:t>environment</w:t>
      </w:r>
      <w:r w:rsidR="000408B5" w:rsidRPr="00D056AF">
        <w:rPr>
          <w:sz w:val="20"/>
          <w:szCs w:val="20"/>
        </w:rPr>
        <w:t xml:space="preserve"> </w:t>
      </w:r>
      <w:r w:rsidR="0055727F" w:rsidRPr="00D056AF">
        <w:rPr>
          <w:sz w:val="20"/>
          <w:szCs w:val="20"/>
        </w:rPr>
        <w:t xml:space="preserve">must be engendered </w:t>
      </w:r>
      <w:r w:rsidR="000408B5" w:rsidRPr="00D056AF">
        <w:rPr>
          <w:sz w:val="20"/>
          <w:szCs w:val="20"/>
        </w:rPr>
        <w:t xml:space="preserve">for the private sector to become engaged </w:t>
      </w:r>
      <w:r w:rsidR="0073635D" w:rsidRPr="00D056AF">
        <w:rPr>
          <w:sz w:val="20"/>
          <w:szCs w:val="20"/>
        </w:rPr>
        <w:t>with</w:t>
      </w:r>
      <w:r w:rsidR="000408B5" w:rsidRPr="00D056AF">
        <w:rPr>
          <w:sz w:val="20"/>
          <w:szCs w:val="20"/>
        </w:rPr>
        <w:t xml:space="preserve"> the SDGs</w:t>
      </w:r>
      <w:r w:rsidR="00462B8E" w:rsidRPr="00D056AF">
        <w:rPr>
          <w:sz w:val="20"/>
          <w:szCs w:val="20"/>
        </w:rPr>
        <w:t>. Second, t</w:t>
      </w:r>
      <w:r w:rsidR="000408B5" w:rsidRPr="00D056AF">
        <w:rPr>
          <w:sz w:val="20"/>
          <w:szCs w:val="20"/>
        </w:rPr>
        <w:t xml:space="preserve">he creation of a dedicated Unit/Agency with a cadre of persons with the technical competences in public and private sector </w:t>
      </w:r>
      <w:r w:rsidR="00867476" w:rsidRPr="00D056AF">
        <w:rPr>
          <w:sz w:val="20"/>
          <w:szCs w:val="20"/>
        </w:rPr>
        <w:t>investment finance</w:t>
      </w:r>
      <w:r w:rsidR="000408B5" w:rsidRPr="00D056AF">
        <w:rPr>
          <w:sz w:val="20"/>
          <w:szCs w:val="20"/>
        </w:rPr>
        <w:t xml:space="preserve"> and management, </w:t>
      </w:r>
      <w:r w:rsidR="00D4364B" w:rsidRPr="00D056AF">
        <w:rPr>
          <w:sz w:val="20"/>
          <w:szCs w:val="20"/>
        </w:rPr>
        <w:t>and</w:t>
      </w:r>
      <w:r w:rsidR="000408B5" w:rsidRPr="00D056AF">
        <w:rPr>
          <w:sz w:val="20"/>
          <w:szCs w:val="20"/>
        </w:rPr>
        <w:t xml:space="preserve"> </w:t>
      </w:r>
      <w:r w:rsidR="00785FFE" w:rsidRPr="00D056AF">
        <w:rPr>
          <w:sz w:val="20"/>
          <w:szCs w:val="20"/>
        </w:rPr>
        <w:t xml:space="preserve">the </w:t>
      </w:r>
      <w:r w:rsidR="00316113" w:rsidRPr="00D056AF">
        <w:rPr>
          <w:sz w:val="20"/>
          <w:szCs w:val="20"/>
        </w:rPr>
        <w:t xml:space="preserve">ability to </w:t>
      </w:r>
      <w:r w:rsidR="003B340A" w:rsidRPr="00D056AF">
        <w:rPr>
          <w:sz w:val="20"/>
          <w:szCs w:val="20"/>
        </w:rPr>
        <w:t>capture</w:t>
      </w:r>
      <w:r w:rsidR="000408B5" w:rsidRPr="00D056AF">
        <w:rPr>
          <w:sz w:val="20"/>
          <w:szCs w:val="20"/>
        </w:rPr>
        <w:t xml:space="preserve"> the financial and technical dispensations that would be available from the </w:t>
      </w:r>
      <w:r w:rsidR="00462B8E" w:rsidRPr="00D056AF">
        <w:rPr>
          <w:sz w:val="20"/>
          <w:szCs w:val="20"/>
        </w:rPr>
        <w:t>international</w:t>
      </w:r>
      <w:r w:rsidR="000408B5" w:rsidRPr="00D056AF">
        <w:rPr>
          <w:sz w:val="20"/>
          <w:szCs w:val="20"/>
        </w:rPr>
        <w:t xml:space="preserve"> community to support the SDGs at the national level.</w:t>
      </w:r>
    </w:p>
    <w:p w:rsidR="000408B5" w:rsidRPr="00D056AF" w:rsidRDefault="000408B5" w:rsidP="000408B5">
      <w:pPr>
        <w:spacing w:after="0" w:line="240" w:lineRule="auto"/>
        <w:ind w:left="360"/>
        <w:jc w:val="both"/>
        <w:rPr>
          <w:sz w:val="20"/>
          <w:szCs w:val="20"/>
        </w:rPr>
      </w:pPr>
    </w:p>
    <w:p w:rsidR="000408B5" w:rsidRPr="00D056AF" w:rsidRDefault="009A5F24" w:rsidP="008F6F7A">
      <w:pPr>
        <w:spacing w:after="0" w:line="240" w:lineRule="auto"/>
        <w:ind w:firstLine="720"/>
        <w:jc w:val="both"/>
        <w:rPr>
          <w:sz w:val="20"/>
          <w:szCs w:val="20"/>
        </w:rPr>
      </w:pPr>
      <w:r w:rsidRPr="00D056AF">
        <w:rPr>
          <w:sz w:val="20"/>
          <w:szCs w:val="20"/>
        </w:rPr>
        <w:t>In summary, t</w:t>
      </w:r>
      <w:r w:rsidR="000408B5" w:rsidRPr="00D056AF">
        <w:rPr>
          <w:sz w:val="20"/>
          <w:szCs w:val="20"/>
        </w:rPr>
        <w:t xml:space="preserve">he SDGs present a good opportunity for </w:t>
      </w:r>
      <w:r w:rsidR="00680D60" w:rsidRPr="00D056AF">
        <w:rPr>
          <w:sz w:val="20"/>
          <w:szCs w:val="20"/>
        </w:rPr>
        <w:t>CARICOM countries</w:t>
      </w:r>
      <w:r w:rsidR="000408B5" w:rsidRPr="00D056AF">
        <w:rPr>
          <w:sz w:val="20"/>
          <w:szCs w:val="20"/>
        </w:rPr>
        <w:t xml:space="preserve"> to reactivate </w:t>
      </w:r>
      <w:r w:rsidR="00680D60" w:rsidRPr="00D056AF">
        <w:rPr>
          <w:sz w:val="20"/>
          <w:szCs w:val="20"/>
        </w:rPr>
        <w:t>their</w:t>
      </w:r>
      <w:r w:rsidRPr="00D056AF">
        <w:rPr>
          <w:sz w:val="20"/>
          <w:szCs w:val="20"/>
        </w:rPr>
        <w:t xml:space="preserve"> economy</w:t>
      </w:r>
      <w:r w:rsidR="000408B5" w:rsidRPr="00D056AF">
        <w:rPr>
          <w:sz w:val="20"/>
          <w:szCs w:val="20"/>
        </w:rPr>
        <w:t xml:space="preserve"> along a development trajectory that will </w:t>
      </w:r>
      <w:r w:rsidR="00E73A4D" w:rsidRPr="00D056AF">
        <w:rPr>
          <w:sz w:val="20"/>
          <w:szCs w:val="20"/>
        </w:rPr>
        <w:t xml:space="preserve">appreciably </w:t>
      </w:r>
      <w:r w:rsidR="000408B5" w:rsidRPr="00D056AF">
        <w:rPr>
          <w:sz w:val="20"/>
          <w:szCs w:val="20"/>
        </w:rPr>
        <w:t xml:space="preserve">enhance the general living standards of </w:t>
      </w:r>
      <w:r w:rsidR="00680D60" w:rsidRPr="00D056AF">
        <w:rPr>
          <w:sz w:val="20"/>
          <w:szCs w:val="20"/>
        </w:rPr>
        <w:t>the population.</w:t>
      </w:r>
      <w:r w:rsidR="000408B5" w:rsidRPr="00D056AF">
        <w:rPr>
          <w:sz w:val="20"/>
          <w:szCs w:val="20"/>
        </w:rPr>
        <w:t xml:space="preserve"> But financing of the SDGs will require large and sustained amounts of investment funds</w:t>
      </w:r>
      <w:r w:rsidR="00E73A4D" w:rsidRPr="00D056AF">
        <w:rPr>
          <w:sz w:val="20"/>
          <w:szCs w:val="20"/>
        </w:rPr>
        <w:t xml:space="preserve"> </w:t>
      </w:r>
      <w:r w:rsidR="00E73A4D" w:rsidRPr="00D056AF">
        <w:rPr>
          <w:i/>
          <w:sz w:val="20"/>
          <w:szCs w:val="20"/>
        </w:rPr>
        <w:t>(</w:t>
      </w:r>
      <w:r w:rsidR="00680D60" w:rsidRPr="00D056AF">
        <w:rPr>
          <w:i/>
          <w:sz w:val="20"/>
          <w:szCs w:val="20"/>
        </w:rPr>
        <w:t xml:space="preserve">the literature refers to this as </w:t>
      </w:r>
      <w:r w:rsidR="00E73A4D" w:rsidRPr="00D056AF">
        <w:rPr>
          <w:i/>
          <w:sz w:val="20"/>
          <w:szCs w:val="20"/>
        </w:rPr>
        <w:t>“from billions to trillions of dollars”!</w:t>
      </w:r>
      <w:r w:rsidR="00E73A4D" w:rsidRPr="00D056AF">
        <w:rPr>
          <w:sz w:val="20"/>
          <w:szCs w:val="20"/>
        </w:rPr>
        <w:t>)</w:t>
      </w:r>
      <w:r w:rsidR="000408B5" w:rsidRPr="00D056AF">
        <w:rPr>
          <w:sz w:val="20"/>
          <w:szCs w:val="20"/>
        </w:rPr>
        <w:t xml:space="preserve">. </w:t>
      </w:r>
      <w:r w:rsidR="00D4364B" w:rsidRPr="00D056AF">
        <w:rPr>
          <w:sz w:val="20"/>
          <w:szCs w:val="20"/>
        </w:rPr>
        <w:t>The government</w:t>
      </w:r>
      <w:r w:rsidR="000408B5" w:rsidRPr="00D056AF">
        <w:rPr>
          <w:sz w:val="20"/>
          <w:szCs w:val="20"/>
        </w:rPr>
        <w:t xml:space="preserve"> cannot, and should not do this alone. Much of this financing will have to be sourced from </w:t>
      </w:r>
      <w:r w:rsidR="00867476" w:rsidRPr="00D056AF">
        <w:rPr>
          <w:sz w:val="20"/>
          <w:szCs w:val="20"/>
        </w:rPr>
        <w:t>domestic resource mobilization</w:t>
      </w:r>
      <w:r w:rsidR="000408B5" w:rsidRPr="00D056AF">
        <w:rPr>
          <w:sz w:val="20"/>
          <w:szCs w:val="20"/>
        </w:rPr>
        <w:t xml:space="preserve"> and </w:t>
      </w:r>
      <w:r w:rsidR="001D62E7" w:rsidRPr="00D056AF">
        <w:rPr>
          <w:sz w:val="20"/>
          <w:szCs w:val="20"/>
        </w:rPr>
        <w:t>public-private-partnerships</w:t>
      </w:r>
      <w:r w:rsidR="000408B5" w:rsidRPr="00D056AF">
        <w:rPr>
          <w:sz w:val="20"/>
          <w:szCs w:val="20"/>
        </w:rPr>
        <w:t xml:space="preserve">, in addition to traditional </w:t>
      </w:r>
      <w:r w:rsidR="00867476" w:rsidRPr="00D056AF">
        <w:rPr>
          <w:sz w:val="20"/>
          <w:szCs w:val="20"/>
        </w:rPr>
        <w:t>Overseas Development Assistance (ODAs), and Foreign Direct Investments (FDIs)</w:t>
      </w:r>
      <w:r w:rsidR="00D4364B" w:rsidRPr="00D056AF">
        <w:rPr>
          <w:sz w:val="20"/>
          <w:szCs w:val="20"/>
        </w:rPr>
        <w:t xml:space="preserve">. </w:t>
      </w:r>
      <w:r w:rsidR="00D27D06" w:rsidRPr="00D056AF">
        <w:rPr>
          <w:sz w:val="20"/>
          <w:szCs w:val="20"/>
        </w:rPr>
        <w:t>Finally</w:t>
      </w:r>
      <w:r w:rsidR="00D4364B" w:rsidRPr="00D056AF">
        <w:rPr>
          <w:sz w:val="20"/>
          <w:szCs w:val="20"/>
        </w:rPr>
        <w:t>, the process of development</w:t>
      </w:r>
      <w:r w:rsidR="000408B5" w:rsidRPr="00D056AF">
        <w:rPr>
          <w:sz w:val="20"/>
          <w:szCs w:val="20"/>
        </w:rPr>
        <w:t xml:space="preserve"> </w:t>
      </w:r>
      <w:r w:rsidR="00D4364B" w:rsidRPr="00D056AF">
        <w:rPr>
          <w:sz w:val="20"/>
          <w:szCs w:val="20"/>
        </w:rPr>
        <w:t>must</w:t>
      </w:r>
      <w:r w:rsidR="000408B5" w:rsidRPr="00D056AF">
        <w:rPr>
          <w:sz w:val="20"/>
          <w:szCs w:val="20"/>
        </w:rPr>
        <w:t xml:space="preserve"> involve a paradigm change, by </w:t>
      </w:r>
      <w:r w:rsidR="00625F25" w:rsidRPr="00D056AF">
        <w:rPr>
          <w:sz w:val="20"/>
          <w:szCs w:val="20"/>
        </w:rPr>
        <w:t xml:space="preserve">both </w:t>
      </w:r>
      <w:r w:rsidR="00EC2518" w:rsidRPr="00D056AF">
        <w:rPr>
          <w:sz w:val="20"/>
          <w:szCs w:val="20"/>
        </w:rPr>
        <w:t xml:space="preserve">the </w:t>
      </w:r>
      <w:r w:rsidR="000408B5" w:rsidRPr="00D056AF">
        <w:rPr>
          <w:sz w:val="20"/>
          <w:szCs w:val="20"/>
        </w:rPr>
        <w:t>public and private sectors,</w:t>
      </w:r>
      <w:r w:rsidR="00867476" w:rsidRPr="00D056AF">
        <w:rPr>
          <w:sz w:val="20"/>
          <w:szCs w:val="20"/>
        </w:rPr>
        <w:t xml:space="preserve"> on the type of </w:t>
      </w:r>
      <w:r w:rsidR="00EC2518" w:rsidRPr="00D056AF">
        <w:rPr>
          <w:sz w:val="20"/>
          <w:szCs w:val="20"/>
        </w:rPr>
        <w:t>transformation</w:t>
      </w:r>
      <w:r w:rsidR="00867476" w:rsidRPr="00D056AF">
        <w:rPr>
          <w:sz w:val="20"/>
          <w:szCs w:val="20"/>
        </w:rPr>
        <w:t xml:space="preserve"> that is required to transition </w:t>
      </w:r>
      <w:r w:rsidR="00680D60" w:rsidRPr="00D056AF">
        <w:rPr>
          <w:sz w:val="20"/>
          <w:szCs w:val="20"/>
        </w:rPr>
        <w:t>CARICOM countries</w:t>
      </w:r>
      <w:r w:rsidR="00EC2518" w:rsidRPr="00D056AF">
        <w:rPr>
          <w:sz w:val="20"/>
          <w:szCs w:val="20"/>
        </w:rPr>
        <w:t xml:space="preserve"> to sustainable development. </w:t>
      </w:r>
    </w:p>
    <w:p w:rsidR="000408B5" w:rsidRPr="00D056AF" w:rsidRDefault="000408B5" w:rsidP="000408B5">
      <w:pPr>
        <w:spacing w:after="0" w:line="240" w:lineRule="auto"/>
        <w:jc w:val="both"/>
        <w:rPr>
          <w:sz w:val="20"/>
          <w:szCs w:val="20"/>
        </w:rPr>
      </w:pPr>
    </w:p>
    <w:p w:rsidR="000C2572" w:rsidRPr="00D056AF" w:rsidRDefault="000C2572" w:rsidP="000408B5">
      <w:pPr>
        <w:spacing w:after="0" w:line="240" w:lineRule="auto"/>
        <w:jc w:val="both"/>
        <w:rPr>
          <w:sz w:val="20"/>
          <w:szCs w:val="20"/>
        </w:rPr>
      </w:pPr>
    </w:p>
    <w:p w:rsidR="008F6F7A" w:rsidRPr="00D056AF" w:rsidRDefault="008F6F7A" w:rsidP="000408B5">
      <w:pPr>
        <w:spacing w:after="0" w:line="240" w:lineRule="auto"/>
        <w:jc w:val="both"/>
        <w:rPr>
          <w:sz w:val="20"/>
          <w:szCs w:val="20"/>
        </w:rPr>
      </w:pPr>
    </w:p>
    <w:p w:rsidR="008F6F7A" w:rsidRPr="007E7F05" w:rsidRDefault="008F6F7A" w:rsidP="008F6F7A">
      <w:pPr>
        <w:spacing w:after="0" w:line="240" w:lineRule="auto"/>
        <w:jc w:val="center"/>
        <w:rPr>
          <w:b/>
          <w:sz w:val="20"/>
          <w:szCs w:val="20"/>
        </w:rPr>
      </w:pPr>
      <w:r w:rsidRPr="007E7F05">
        <w:rPr>
          <w:b/>
          <w:sz w:val="20"/>
          <w:szCs w:val="20"/>
        </w:rPr>
        <w:t>References</w:t>
      </w:r>
    </w:p>
    <w:p w:rsidR="008F6F7A" w:rsidRPr="00F408F2" w:rsidRDefault="008F6F7A" w:rsidP="008F6F7A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F408F2">
        <w:rPr>
          <w:sz w:val="20"/>
          <w:szCs w:val="20"/>
        </w:rPr>
        <w:t xml:space="preserve">Food and Agriculture Organization (FAO). (2015). </w:t>
      </w:r>
      <w:proofErr w:type="gramStart"/>
      <w:r w:rsidRPr="00F408F2">
        <w:rPr>
          <w:sz w:val="20"/>
          <w:szCs w:val="20"/>
        </w:rPr>
        <w:t>The</w:t>
      </w:r>
      <w:proofErr w:type="gramEnd"/>
      <w:r w:rsidRPr="00F408F2">
        <w:rPr>
          <w:sz w:val="20"/>
          <w:szCs w:val="20"/>
        </w:rPr>
        <w:t xml:space="preserve"> State of Food Insecurity in CARICOM Caribbean. FAO Su</w:t>
      </w:r>
      <w:r w:rsidR="00990078">
        <w:rPr>
          <w:sz w:val="20"/>
          <w:szCs w:val="20"/>
        </w:rPr>
        <w:t>b</w:t>
      </w:r>
      <w:r w:rsidRPr="00F408F2">
        <w:rPr>
          <w:sz w:val="20"/>
          <w:szCs w:val="20"/>
        </w:rPr>
        <w:t>-</w:t>
      </w:r>
      <w:r w:rsidR="00990078">
        <w:rPr>
          <w:sz w:val="20"/>
          <w:szCs w:val="20"/>
        </w:rPr>
        <w:t>R</w:t>
      </w:r>
      <w:r w:rsidRPr="00F408F2">
        <w:rPr>
          <w:sz w:val="20"/>
          <w:szCs w:val="20"/>
        </w:rPr>
        <w:t>egional Office, Barbados.</w:t>
      </w:r>
    </w:p>
    <w:p w:rsidR="00350AB8" w:rsidRDefault="00350AB8" w:rsidP="00350AB8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F408F2">
        <w:rPr>
          <w:sz w:val="20"/>
          <w:szCs w:val="20"/>
        </w:rPr>
        <w:t xml:space="preserve">Development Initiatives (2015). Investments to End Poverty 2015. </w:t>
      </w:r>
      <w:hyperlink r:id="rId9" w:history="1">
        <w:r w:rsidRPr="00E64826">
          <w:rPr>
            <w:rStyle w:val="Hyperlink"/>
            <w:sz w:val="20"/>
            <w:szCs w:val="20"/>
          </w:rPr>
          <w:t>www.devinit.org</w:t>
        </w:r>
      </w:hyperlink>
    </w:p>
    <w:p w:rsidR="00350AB8" w:rsidRPr="00F408F2" w:rsidRDefault="00350AB8" w:rsidP="00350AB8">
      <w:pPr>
        <w:spacing w:after="0" w:line="240" w:lineRule="auto"/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United Nations (2015). The Sustainable Development Goals. </w:t>
      </w:r>
      <w:r w:rsidRPr="00990078">
        <w:rPr>
          <w:sz w:val="20"/>
          <w:szCs w:val="20"/>
        </w:rPr>
        <w:t>http://www.un.org/sustainabledevelopment/sustainable-development-goals</w:t>
      </w:r>
      <w:r>
        <w:rPr>
          <w:sz w:val="20"/>
          <w:szCs w:val="20"/>
        </w:rPr>
        <w:t>.</w:t>
      </w:r>
    </w:p>
    <w:p w:rsidR="00F408F2" w:rsidRPr="00F408F2" w:rsidRDefault="00F408F2" w:rsidP="008F6F7A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F408F2">
        <w:rPr>
          <w:sz w:val="20"/>
          <w:szCs w:val="20"/>
        </w:rPr>
        <w:t>World Bank (2013). Financing for Development Post-2015. www.w</w:t>
      </w:r>
      <w:r w:rsidR="00990078">
        <w:rPr>
          <w:sz w:val="20"/>
          <w:szCs w:val="20"/>
        </w:rPr>
        <w:t>o</w:t>
      </w:r>
      <w:r w:rsidRPr="00F408F2">
        <w:rPr>
          <w:sz w:val="20"/>
          <w:szCs w:val="20"/>
        </w:rPr>
        <w:t>rldbank.org.</w:t>
      </w:r>
    </w:p>
    <w:p w:rsidR="00D056AF" w:rsidRPr="00F408F2" w:rsidRDefault="00D056AF" w:rsidP="008F6F7A">
      <w:pPr>
        <w:spacing w:after="0" w:line="240" w:lineRule="auto"/>
        <w:ind w:left="720" w:hanging="720"/>
        <w:jc w:val="both"/>
        <w:rPr>
          <w:sz w:val="20"/>
          <w:szCs w:val="20"/>
        </w:rPr>
      </w:pPr>
      <w:r w:rsidRPr="00F408F2">
        <w:rPr>
          <w:sz w:val="20"/>
          <w:szCs w:val="20"/>
        </w:rPr>
        <w:t>World Bank</w:t>
      </w:r>
      <w:r w:rsidR="00F408F2" w:rsidRPr="00F408F2">
        <w:rPr>
          <w:sz w:val="20"/>
          <w:szCs w:val="20"/>
        </w:rPr>
        <w:t>/International Monetary Fund</w:t>
      </w:r>
      <w:r w:rsidRPr="00F408F2">
        <w:rPr>
          <w:sz w:val="20"/>
          <w:szCs w:val="20"/>
        </w:rPr>
        <w:t xml:space="preserve"> </w:t>
      </w:r>
      <w:r w:rsidR="00F408F2" w:rsidRPr="00F408F2">
        <w:rPr>
          <w:sz w:val="20"/>
          <w:szCs w:val="20"/>
        </w:rPr>
        <w:t xml:space="preserve">(WB/IMF) </w:t>
      </w:r>
      <w:r w:rsidRPr="00F408F2">
        <w:rPr>
          <w:sz w:val="20"/>
          <w:szCs w:val="20"/>
        </w:rPr>
        <w:t>(20</w:t>
      </w:r>
      <w:r w:rsidR="00F408F2" w:rsidRPr="00F408F2">
        <w:rPr>
          <w:sz w:val="20"/>
          <w:szCs w:val="20"/>
        </w:rPr>
        <w:t xml:space="preserve">15).  From Billions to Trillions. Transforming Development Finance. Post-2015 Financing for Development: Multilateral Development Finance. </w:t>
      </w:r>
      <w:hyperlink r:id="rId10" w:history="1">
        <w:r w:rsidR="00F408F2" w:rsidRPr="00F408F2">
          <w:rPr>
            <w:rStyle w:val="Hyperlink"/>
            <w:sz w:val="20"/>
            <w:szCs w:val="20"/>
          </w:rPr>
          <w:t>www.worldbank.org</w:t>
        </w:r>
      </w:hyperlink>
      <w:r w:rsidR="00F408F2" w:rsidRPr="00F408F2">
        <w:rPr>
          <w:sz w:val="20"/>
          <w:szCs w:val="20"/>
        </w:rPr>
        <w:t>.</w:t>
      </w:r>
    </w:p>
    <w:sectPr w:rsidR="00D056AF" w:rsidRPr="00F408F2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4D8" w:rsidRDefault="006E54D8" w:rsidP="006D109C">
      <w:pPr>
        <w:spacing w:after="0" w:line="240" w:lineRule="auto"/>
      </w:pPr>
      <w:r>
        <w:separator/>
      </w:r>
    </w:p>
  </w:endnote>
  <w:endnote w:type="continuationSeparator" w:id="0">
    <w:p w:rsidR="006E54D8" w:rsidRDefault="006E54D8" w:rsidP="006D1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136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09C" w:rsidRDefault="006D10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B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109C" w:rsidRDefault="006D10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4D8" w:rsidRDefault="006E54D8" w:rsidP="006D109C">
      <w:pPr>
        <w:spacing w:after="0" w:line="240" w:lineRule="auto"/>
      </w:pPr>
      <w:r>
        <w:separator/>
      </w:r>
    </w:p>
  </w:footnote>
  <w:footnote w:type="continuationSeparator" w:id="0">
    <w:p w:rsidR="006E54D8" w:rsidRDefault="006E54D8" w:rsidP="006D1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30EE"/>
    <w:multiLevelType w:val="hybridMultilevel"/>
    <w:tmpl w:val="E3E45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20D9"/>
    <w:multiLevelType w:val="hybridMultilevel"/>
    <w:tmpl w:val="99420720"/>
    <w:lvl w:ilvl="0" w:tplc="9334B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ECA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AA8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3EF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C4D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4E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EE1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80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B82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946912"/>
    <w:multiLevelType w:val="multilevel"/>
    <w:tmpl w:val="510A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10D5A"/>
    <w:multiLevelType w:val="hybridMultilevel"/>
    <w:tmpl w:val="C8B09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3FE0"/>
    <w:multiLevelType w:val="hybridMultilevel"/>
    <w:tmpl w:val="8898B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75AB0"/>
    <w:multiLevelType w:val="hybridMultilevel"/>
    <w:tmpl w:val="B3C6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42501"/>
    <w:multiLevelType w:val="hybridMultilevel"/>
    <w:tmpl w:val="7EB6A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F6488"/>
    <w:multiLevelType w:val="hybridMultilevel"/>
    <w:tmpl w:val="E2FA3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943AD"/>
    <w:multiLevelType w:val="hybridMultilevel"/>
    <w:tmpl w:val="15560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66C72"/>
    <w:multiLevelType w:val="hybridMultilevel"/>
    <w:tmpl w:val="2E70F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63A94"/>
    <w:multiLevelType w:val="hybridMultilevel"/>
    <w:tmpl w:val="F6A0F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85773"/>
    <w:multiLevelType w:val="hybridMultilevel"/>
    <w:tmpl w:val="4E660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E2A8C"/>
    <w:multiLevelType w:val="hybridMultilevel"/>
    <w:tmpl w:val="EEB4EDA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7A70AF9"/>
    <w:multiLevelType w:val="hybridMultilevel"/>
    <w:tmpl w:val="59D24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62102"/>
    <w:multiLevelType w:val="hybridMultilevel"/>
    <w:tmpl w:val="60FE7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14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CB"/>
    <w:rsid w:val="00011721"/>
    <w:rsid w:val="00012E53"/>
    <w:rsid w:val="0001448B"/>
    <w:rsid w:val="000408B5"/>
    <w:rsid w:val="0006601C"/>
    <w:rsid w:val="00072B4F"/>
    <w:rsid w:val="00087C5E"/>
    <w:rsid w:val="000C2572"/>
    <w:rsid w:val="000D3D70"/>
    <w:rsid w:val="00187E2C"/>
    <w:rsid w:val="001A6CEA"/>
    <w:rsid w:val="001D62E7"/>
    <w:rsid w:val="001E4DCD"/>
    <w:rsid w:val="001F4AF5"/>
    <w:rsid w:val="00217DD1"/>
    <w:rsid w:val="00220E6D"/>
    <w:rsid w:val="00244FC4"/>
    <w:rsid w:val="00256FA1"/>
    <w:rsid w:val="00285339"/>
    <w:rsid w:val="00296114"/>
    <w:rsid w:val="002B2481"/>
    <w:rsid w:val="002C749A"/>
    <w:rsid w:val="00316113"/>
    <w:rsid w:val="00350AB8"/>
    <w:rsid w:val="003812AD"/>
    <w:rsid w:val="003B340A"/>
    <w:rsid w:val="003E3DDE"/>
    <w:rsid w:val="003F4C4A"/>
    <w:rsid w:val="00414AAA"/>
    <w:rsid w:val="00431573"/>
    <w:rsid w:val="004315B9"/>
    <w:rsid w:val="004550C3"/>
    <w:rsid w:val="00462B8E"/>
    <w:rsid w:val="004664BF"/>
    <w:rsid w:val="0055727F"/>
    <w:rsid w:val="00571CB2"/>
    <w:rsid w:val="0058049B"/>
    <w:rsid w:val="006020A0"/>
    <w:rsid w:val="006050B3"/>
    <w:rsid w:val="00625F25"/>
    <w:rsid w:val="0064483F"/>
    <w:rsid w:val="00651720"/>
    <w:rsid w:val="0065534E"/>
    <w:rsid w:val="00680D60"/>
    <w:rsid w:val="006936FE"/>
    <w:rsid w:val="006A23C6"/>
    <w:rsid w:val="006A2CFD"/>
    <w:rsid w:val="006C1431"/>
    <w:rsid w:val="006D109C"/>
    <w:rsid w:val="006E54D8"/>
    <w:rsid w:val="006F122D"/>
    <w:rsid w:val="007053FD"/>
    <w:rsid w:val="0073635D"/>
    <w:rsid w:val="00785FFE"/>
    <w:rsid w:val="007D4171"/>
    <w:rsid w:val="007E7F05"/>
    <w:rsid w:val="008179C2"/>
    <w:rsid w:val="00823232"/>
    <w:rsid w:val="008311F6"/>
    <w:rsid w:val="00833F36"/>
    <w:rsid w:val="00867476"/>
    <w:rsid w:val="008A1358"/>
    <w:rsid w:val="008D3E51"/>
    <w:rsid w:val="008D6816"/>
    <w:rsid w:val="008F6F7A"/>
    <w:rsid w:val="009060D4"/>
    <w:rsid w:val="00930618"/>
    <w:rsid w:val="00990078"/>
    <w:rsid w:val="009A5F24"/>
    <w:rsid w:val="009C38BA"/>
    <w:rsid w:val="009C6976"/>
    <w:rsid w:val="009F2D8B"/>
    <w:rsid w:val="00A0648F"/>
    <w:rsid w:val="00A50A44"/>
    <w:rsid w:val="00A61801"/>
    <w:rsid w:val="00A956D7"/>
    <w:rsid w:val="00A97453"/>
    <w:rsid w:val="00A979DB"/>
    <w:rsid w:val="00AA314A"/>
    <w:rsid w:val="00AF6100"/>
    <w:rsid w:val="00B443F4"/>
    <w:rsid w:val="00B45E1B"/>
    <w:rsid w:val="00B52E77"/>
    <w:rsid w:val="00B5342D"/>
    <w:rsid w:val="00B54577"/>
    <w:rsid w:val="00B8517E"/>
    <w:rsid w:val="00BA50B8"/>
    <w:rsid w:val="00BC32B0"/>
    <w:rsid w:val="00C017EE"/>
    <w:rsid w:val="00C40C95"/>
    <w:rsid w:val="00C64CD1"/>
    <w:rsid w:val="00C770EF"/>
    <w:rsid w:val="00C960CB"/>
    <w:rsid w:val="00CB20ED"/>
    <w:rsid w:val="00CB3F15"/>
    <w:rsid w:val="00CB756D"/>
    <w:rsid w:val="00CD4FAD"/>
    <w:rsid w:val="00D04B04"/>
    <w:rsid w:val="00D056AF"/>
    <w:rsid w:val="00D27D06"/>
    <w:rsid w:val="00D4364B"/>
    <w:rsid w:val="00D473FC"/>
    <w:rsid w:val="00D566C4"/>
    <w:rsid w:val="00D576F1"/>
    <w:rsid w:val="00D60F63"/>
    <w:rsid w:val="00D951B4"/>
    <w:rsid w:val="00E239F1"/>
    <w:rsid w:val="00E30245"/>
    <w:rsid w:val="00E61724"/>
    <w:rsid w:val="00E73A4D"/>
    <w:rsid w:val="00EA723A"/>
    <w:rsid w:val="00EB0048"/>
    <w:rsid w:val="00EC2518"/>
    <w:rsid w:val="00ED0377"/>
    <w:rsid w:val="00ED5262"/>
    <w:rsid w:val="00EE5E63"/>
    <w:rsid w:val="00EE7737"/>
    <w:rsid w:val="00F07789"/>
    <w:rsid w:val="00F408F2"/>
    <w:rsid w:val="00F7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5CB6A-909C-4490-9917-0CB8E21C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F15"/>
    <w:pPr>
      <w:spacing w:line="256" w:lineRule="auto"/>
      <w:ind w:left="720"/>
      <w:contextualSpacing/>
    </w:pPr>
  </w:style>
  <w:style w:type="paragraph" w:customStyle="1" w:styleId="Default">
    <w:name w:val="Default"/>
    <w:rsid w:val="00CB3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7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08F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1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09C"/>
  </w:style>
  <w:style w:type="paragraph" w:styleId="Footer">
    <w:name w:val="footer"/>
    <w:basedOn w:val="Normal"/>
    <w:link w:val="FooterChar"/>
    <w:uiPriority w:val="99"/>
    <w:unhideWhenUsed/>
    <w:rsid w:val="006D1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0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sustainabledevelopment/sustainable-development-goal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worldban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vini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Ballayram</dc:creator>
  <cp:keywords/>
  <dc:description/>
  <cp:lastModifiedBy>Dr Ballayram</cp:lastModifiedBy>
  <cp:revision>11</cp:revision>
  <dcterms:created xsi:type="dcterms:W3CDTF">2016-02-20T06:33:00Z</dcterms:created>
  <dcterms:modified xsi:type="dcterms:W3CDTF">2016-03-03T06:20:00Z</dcterms:modified>
</cp:coreProperties>
</file>