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9FBFD" w14:textId="77777777" w:rsidR="00C91C4D" w:rsidRPr="00C82F0C" w:rsidRDefault="00C91C4D" w:rsidP="00C91C4D">
      <w:pPr>
        <w:jc w:val="center"/>
        <w:rPr>
          <w:rFonts w:ascii="Arial" w:hAnsi="Arial" w:cs="Arial"/>
          <w:b/>
          <w:bCs/>
          <w:sz w:val="32"/>
          <w:szCs w:val="32"/>
          <w:lang w:val="en-US"/>
        </w:rPr>
      </w:pPr>
      <w:r w:rsidRPr="00C82F0C">
        <w:rPr>
          <w:rFonts w:ascii="Arial" w:hAnsi="Arial" w:cs="Arial"/>
          <w:b/>
          <w:bCs/>
          <w:sz w:val="32"/>
          <w:szCs w:val="32"/>
          <w:lang w:val="en-US"/>
        </w:rPr>
        <w:t>GBEP Working Group on Capacity Building</w:t>
      </w:r>
    </w:p>
    <w:p w14:paraId="7974F0F3" w14:textId="77777777" w:rsidR="00C91C4D" w:rsidRPr="00C82F0C" w:rsidRDefault="00C91C4D" w:rsidP="00C91C4D">
      <w:pPr>
        <w:jc w:val="center"/>
        <w:rPr>
          <w:rFonts w:ascii="Arial" w:hAnsi="Arial" w:cs="Arial"/>
          <w:b/>
          <w:bCs/>
          <w:sz w:val="32"/>
          <w:szCs w:val="32"/>
          <w:lang w:val="en-US"/>
        </w:rPr>
      </w:pPr>
      <w:r w:rsidRPr="00C82F0C">
        <w:rPr>
          <w:rFonts w:ascii="Arial" w:hAnsi="Arial" w:cs="Arial"/>
          <w:b/>
          <w:bCs/>
          <w:sz w:val="32"/>
          <w:szCs w:val="32"/>
          <w:lang w:val="en-US"/>
        </w:rPr>
        <w:t xml:space="preserve"> </w:t>
      </w:r>
      <w:proofErr w:type="gramStart"/>
      <w:r w:rsidRPr="00C82F0C">
        <w:rPr>
          <w:rFonts w:ascii="Arial" w:hAnsi="Arial" w:cs="Arial"/>
          <w:b/>
          <w:bCs/>
          <w:sz w:val="32"/>
          <w:szCs w:val="32"/>
          <w:lang w:val="en-US"/>
        </w:rPr>
        <w:t>for</w:t>
      </w:r>
      <w:proofErr w:type="gramEnd"/>
      <w:r w:rsidRPr="00C82F0C">
        <w:rPr>
          <w:rFonts w:ascii="Arial" w:hAnsi="Arial" w:cs="Arial"/>
          <w:b/>
          <w:bCs/>
          <w:sz w:val="32"/>
          <w:szCs w:val="32"/>
          <w:lang w:val="en-US"/>
        </w:rPr>
        <w:t xml:space="preserve"> Sustainable Bioenergy</w:t>
      </w:r>
    </w:p>
    <w:p w14:paraId="164C8487" w14:textId="77777777" w:rsidR="00C91C4D" w:rsidRPr="00C82F0C" w:rsidRDefault="00C91C4D" w:rsidP="00C91C4D">
      <w:pPr>
        <w:spacing w:before="120"/>
        <w:jc w:val="center"/>
        <w:rPr>
          <w:rFonts w:ascii="Arial" w:hAnsi="Arial" w:cs="Arial"/>
          <w:b/>
          <w:bCs/>
          <w:i/>
          <w:sz w:val="28"/>
          <w:szCs w:val="28"/>
          <w:lang w:val="en-US"/>
        </w:rPr>
      </w:pPr>
      <w:r w:rsidRPr="00C82F0C">
        <w:rPr>
          <w:rFonts w:ascii="Arial" w:hAnsi="Arial" w:cs="Arial"/>
          <w:b/>
          <w:bCs/>
          <w:i/>
          <w:sz w:val="28"/>
          <w:szCs w:val="28"/>
          <w:lang w:val="en-US"/>
        </w:rPr>
        <w:t xml:space="preserve">Scope of Work for Activity Group 6 on </w:t>
      </w:r>
    </w:p>
    <w:p w14:paraId="1084F867" w14:textId="77777777" w:rsidR="00C91C4D" w:rsidRPr="00C82F0C" w:rsidRDefault="00C91C4D" w:rsidP="00C91C4D">
      <w:pPr>
        <w:pStyle w:val="Heading1"/>
        <w:spacing w:before="120"/>
        <w:jc w:val="center"/>
        <w:rPr>
          <w:rFonts w:ascii="Arial" w:hAnsi="Arial" w:cs="Arial"/>
          <w:lang w:val="en-US"/>
        </w:rPr>
      </w:pPr>
      <w:r w:rsidRPr="00C82F0C">
        <w:rPr>
          <w:rFonts w:ascii="Arial" w:hAnsi="Arial" w:cs="Arial"/>
          <w:b w:val="0"/>
          <w:bCs w:val="0"/>
          <w:i/>
          <w:sz w:val="28"/>
          <w:szCs w:val="28"/>
          <w:lang w:val="en-US"/>
        </w:rPr>
        <w:t>“Bioenergy and Water”</w:t>
      </w:r>
    </w:p>
    <w:p w14:paraId="50A61981" w14:textId="77777777" w:rsidR="006B4B63" w:rsidRPr="00EC52DC" w:rsidRDefault="006B4B63" w:rsidP="00367CB9">
      <w:pPr>
        <w:jc w:val="center"/>
        <w:rPr>
          <w:b/>
          <w:sz w:val="28"/>
          <w:szCs w:val="28"/>
          <w:lang w:val="en-US"/>
        </w:rPr>
      </w:pPr>
    </w:p>
    <w:p w14:paraId="496B8917" w14:textId="3F200C93" w:rsidR="00367CB9" w:rsidRPr="00EC52DC" w:rsidRDefault="00042655" w:rsidP="00367CB9">
      <w:pPr>
        <w:jc w:val="center"/>
        <w:rPr>
          <w:lang w:val="en-US"/>
        </w:rPr>
      </w:pPr>
      <w:r w:rsidRPr="00EC52DC">
        <w:rPr>
          <w:b/>
          <w:sz w:val="28"/>
          <w:szCs w:val="28"/>
          <w:lang w:val="en-US"/>
        </w:rPr>
        <w:t>Scope of Work 2017</w:t>
      </w:r>
    </w:p>
    <w:p w14:paraId="496B8918" w14:textId="77777777" w:rsidR="00367CB9" w:rsidRPr="00EC52DC" w:rsidRDefault="00367CB9" w:rsidP="00367CB9">
      <w:pPr>
        <w:jc w:val="center"/>
        <w:rPr>
          <w:lang w:val="en-US"/>
        </w:rPr>
      </w:pPr>
    </w:p>
    <w:p w14:paraId="4135DAEA" w14:textId="31ED9521" w:rsidR="00C91C4D" w:rsidRPr="00677F79" w:rsidRDefault="00C91C4D" w:rsidP="00677F79">
      <w:pPr>
        <w:spacing w:after="120"/>
        <w:jc w:val="both"/>
        <w:rPr>
          <w:b/>
          <w:bCs/>
          <w:lang w:val="en-US"/>
        </w:rPr>
      </w:pPr>
      <w:r w:rsidRPr="00677F79">
        <w:rPr>
          <w:b/>
          <w:bCs/>
          <w:lang w:val="en-US"/>
        </w:rPr>
        <w:t>Introduction</w:t>
      </w:r>
    </w:p>
    <w:p w14:paraId="496B891B" w14:textId="3C29CD1E" w:rsidR="001E0FD1" w:rsidRPr="00EC52DC" w:rsidRDefault="001E0FD1" w:rsidP="001E0FD1">
      <w:pPr>
        <w:spacing w:after="120"/>
        <w:ind w:firstLine="720"/>
        <w:jc w:val="both"/>
        <w:rPr>
          <w:lang w:val="en-US"/>
        </w:rPr>
      </w:pPr>
      <w:r w:rsidRPr="00EC52DC">
        <w:rPr>
          <w:lang w:val="en-US"/>
        </w:rPr>
        <w:t>The GBEP Activity Group 6 “Bioenergy and Water”</w:t>
      </w:r>
      <w:r w:rsidR="00EC52DC" w:rsidRPr="00EC52DC">
        <w:rPr>
          <w:lang w:val="en-US"/>
        </w:rPr>
        <w:t xml:space="preserve"> (AG6</w:t>
      </w:r>
      <w:r w:rsidRPr="00EC52DC">
        <w:rPr>
          <w:lang w:val="en-US"/>
        </w:rPr>
        <w:t>) aims to identify and disseminate ways of integrating bioenergy systems into agricultural and forested landscapes for improving sustainable management of water resources, including wastewater. This includes sharing knowledge and experie</w:t>
      </w:r>
      <w:r w:rsidR="00D21C58" w:rsidRPr="00EC52DC">
        <w:rPr>
          <w:lang w:val="en-US"/>
        </w:rPr>
        <w:t>nces on landscape management</w:t>
      </w:r>
      <w:r w:rsidRPr="00EC52DC">
        <w:rPr>
          <w:lang w:val="en-US"/>
        </w:rPr>
        <w:t xml:space="preserve"> and design, best management practices, as well as on policies and instruments supporting bioenergy implementation that contribute positively to the state of water. With the support of the IEA as a GBEP partner, IEA Bioenergy Task 43, assisted by Task 40, is co-leading the Activity Group (AG6 lead: </w:t>
      </w:r>
      <w:r w:rsidRPr="00EC52DC">
        <w:rPr>
          <w:rFonts w:asciiTheme="majorBidi" w:hAnsiTheme="majorBidi" w:cstheme="majorBidi"/>
          <w:lang w:val="en-US"/>
        </w:rPr>
        <w:t xml:space="preserve">Göran Berndes supported by Uwe R. Fritsche) </w:t>
      </w:r>
      <w:r w:rsidRPr="00EC52DC">
        <w:rPr>
          <w:lang w:val="en-US"/>
        </w:rPr>
        <w:t xml:space="preserve">and contributing to the work defined in the </w:t>
      </w:r>
      <w:proofErr w:type="spellStart"/>
      <w:r w:rsidRPr="00EC52DC">
        <w:rPr>
          <w:lang w:val="en-US"/>
        </w:rPr>
        <w:t>workplan</w:t>
      </w:r>
      <w:proofErr w:type="spellEnd"/>
      <w:r w:rsidRPr="00EC52DC">
        <w:rPr>
          <w:lang w:val="en-US"/>
        </w:rPr>
        <w:t>.</w:t>
      </w:r>
    </w:p>
    <w:p w14:paraId="496B891C" w14:textId="77777777" w:rsidR="001E0FD1" w:rsidRDefault="001E0FD1" w:rsidP="001E0FD1">
      <w:pPr>
        <w:spacing w:after="120"/>
        <w:ind w:firstLine="720"/>
        <w:jc w:val="both"/>
        <w:rPr>
          <w:lang w:val="en-US"/>
        </w:rPr>
      </w:pPr>
      <w:r w:rsidRPr="00EC52DC">
        <w:rPr>
          <w:lang w:val="en-US"/>
        </w:rPr>
        <w:t>As a core activity between 2015 and early 2016, the AG6 developed a report collecting Examples of Positive Bioenergy and Water Rel</w:t>
      </w:r>
      <w:r w:rsidR="00D21C58" w:rsidRPr="00EC52DC">
        <w:rPr>
          <w:lang w:val="en-US"/>
        </w:rPr>
        <w:t xml:space="preserve">ationships, in order </w:t>
      </w:r>
      <w:r w:rsidRPr="00EC52DC">
        <w:rPr>
          <w:lang w:val="en-US"/>
        </w:rPr>
        <w:t>to showcase innovative examples of how bioenergy systems (in both the feedstock production and conversion phases) can produce positive impacts on the status of water</w:t>
      </w:r>
      <w:r w:rsidR="00D21C58" w:rsidRPr="00EC52DC">
        <w:rPr>
          <w:lang w:val="en-US"/>
        </w:rPr>
        <w:t>. The report aime</w:t>
      </w:r>
      <w:r w:rsidRPr="00EC52DC">
        <w:rPr>
          <w:lang w:val="en-US"/>
        </w:rPr>
        <w:t xml:space="preserve">d to </w:t>
      </w:r>
      <w:r w:rsidR="00D21C58" w:rsidRPr="00EC52DC">
        <w:rPr>
          <w:lang w:val="en-US"/>
        </w:rPr>
        <w:t xml:space="preserve">inspire and support </w:t>
      </w:r>
      <w:r w:rsidRPr="00EC52DC">
        <w:rPr>
          <w:lang w:val="en-US"/>
        </w:rPr>
        <w:t>other bioenergy producers</w:t>
      </w:r>
      <w:r w:rsidR="00D21C58" w:rsidRPr="00EC52DC">
        <w:rPr>
          <w:lang w:val="en-US"/>
        </w:rPr>
        <w:t xml:space="preserve"> by disseminating knowledge and experience</w:t>
      </w:r>
      <w:r w:rsidRPr="00EC52DC">
        <w:rPr>
          <w:lang w:val="en-US"/>
        </w:rPr>
        <w:t xml:space="preserve">. </w:t>
      </w:r>
      <w:r w:rsidR="00D21C58" w:rsidRPr="00EC52DC">
        <w:rPr>
          <w:lang w:val="en-US"/>
        </w:rPr>
        <w:t xml:space="preserve">Furthermore, two webinars </w:t>
      </w:r>
      <w:proofErr w:type="gramStart"/>
      <w:r w:rsidR="00D21C58" w:rsidRPr="00EC52DC">
        <w:rPr>
          <w:lang w:val="en-US"/>
        </w:rPr>
        <w:t>were held</w:t>
      </w:r>
      <w:proofErr w:type="gramEnd"/>
      <w:r w:rsidR="00D21C58" w:rsidRPr="00EC52DC">
        <w:rPr>
          <w:lang w:val="en-US"/>
        </w:rPr>
        <w:t xml:space="preserve"> in 2016. The first one (6 April) focused on Africa, Asia and the Pacific, and Europe, and the second one (25 May) focused on the Americas. These webinars provided further dissemination of the examples collected in the report as a way to inspire participants to build on these examples together with other bioenergy producers in their respective countries.</w:t>
      </w:r>
    </w:p>
    <w:p w14:paraId="4FE773B4" w14:textId="77777777" w:rsidR="00C91C4D" w:rsidRDefault="00C91C4D" w:rsidP="00677F79">
      <w:pPr>
        <w:spacing w:after="120"/>
        <w:jc w:val="both"/>
        <w:rPr>
          <w:lang w:val="en-US"/>
        </w:rPr>
      </w:pPr>
    </w:p>
    <w:p w14:paraId="7D4EACBC" w14:textId="4E459B29" w:rsidR="00C91C4D" w:rsidRPr="00677F79" w:rsidRDefault="00C91C4D" w:rsidP="00677F79">
      <w:pPr>
        <w:spacing w:after="120"/>
        <w:jc w:val="both"/>
        <w:rPr>
          <w:b/>
          <w:bCs/>
          <w:lang w:val="en-US"/>
        </w:rPr>
      </w:pPr>
      <w:r w:rsidRPr="00677F79">
        <w:rPr>
          <w:b/>
          <w:bCs/>
          <w:lang w:val="en-US"/>
        </w:rPr>
        <w:t>Scope of Work 2017</w:t>
      </w:r>
    </w:p>
    <w:p w14:paraId="496B891D" w14:textId="7AA86581" w:rsidR="001E0FD1" w:rsidRPr="00EC52DC" w:rsidRDefault="001E0FD1" w:rsidP="001E0FD1">
      <w:pPr>
        <w:tabs>
          <w:tab w:val="center" w:pos="709"/>
        </w:tabs>
        <w:spacing w:after="120"/>
        <w:jc w:val="both"/>
        <w:rPr>
          <w:rFonts w:asciiTheme="majorBidi" w:hAnsiTheme="majorBidi" w:cstheme="majorBidi"/>
          <w:lang w:val="en-US"/>
        </w:rPr>
      </w:pPr>
      <w:r w:rsidRPr="00EC52DC">
        <w:rPr>
          <w:lang w:val="en-US"/>
        </w:rPr>
        <w:tab/>
      </w:r>
      <w:r w:rsidRPr="00EC52DC">
        <w:rPr>
          <w:lang w:val="en-US"/>
        </w:rPr>
        <w:tab/>
      </w:r>
      <w:r w:rsidR="006B4B63" w:rsidRPr="00EC52DC">
        <w:rPr>
          <w:rFonts w:asciiTheme="majorBidi" w:hAnsiTheme="majorBidi" w:cstheme="majorBidi"/>
          <w:lang w:val="en-US"/>
        </w:rPr>
        <w:t>The</w:t>
      </w:r>
      <w:r w:rsidRPr="00EC52DC">
        <w:rPr>
          <w:rFonts w:asciiTheme="majorBidi" w:hAnsiTheme="majorBidi" w:cstheme="majorBidi"/>
          <w:lang w:val="en-US"/>
        </w:rPr>
        <w:t xml:space="preserve"> </w:t>
      </w:r>
      <w:r w:rsidRPr="00EC52DC">
        <w:rPr>
          <w:rFonts w:asciiTheme="majorBidi" w:hAnsiTheme="majorBidi" w:cstheme="majorBidi"/>
          <w:b/>
          <w:lang w:val="en-US"/>
        </w:rPr>
        <w:t>2017 Scope of Work</w:t>
      </w:r>
      <w:r w:rsidRPr="00EC52DC">
        <w:rPr>
          <w:rFonts w:asciiTheme="majorBidi" w:hAnsiTheme="majorBidi" w:cstheme="majorBidi"/>
          <w:lang w:val="en-US"/>
        </w:rPr>
        <w:t xml:space="preserve"> build</w:t>
      </w:r>
      <w:r w:rsidR="00042655" w:rsidRPr="00EC52DC">
        <w:rPr>
          <w:rFonts w:asciiTheme="majorBidi" w:hAnsiTheme="majorBidi" w:cstheme="majorBidi"/>
          <w:lang w:val="en-US"/>
        </w:rPr>
        <w:t>s</w:t>
      </w:r>
      <w:r w:rsidRPr="00EC52DC">
        <w:rPr>
          <w:rFonts w:asciiTheme="majorBidi" w:hAnsiTheme="majorBidi" w:cstheme="majorBidi"/>
          <w:lang w:val="en-US"/>
        </w:rPr>
        <w:t xml:space="preserve"> </w:t>
      </w:r>
      <w:r w:rsidR="006B4B63" w:rsidRPr="00EC52DC">
        <w:rPr>
          <w:rFonts w:asciiTheme="majorBidi" w:hAnsiTheme="majorBidi" w:cstheme="majorBidi"/>
          <w:lang w:val="en-US"/>
        </w:rPr>
        <w:t xml:space="preserve">further </w:t>
      </w:r>
      <w:r w:rsidRPr="00EC52DC">
        <w:rPr>
          <w:rFonts w:asciiTheme="majorBidi" w:hAnsiTheme="majorBidi" w:cstheme="majorBidi"/>
          <w:lang w:val="en-US"/>
        </w:rPr>
        <w:t xml:space="preserve">on </w:t>
      </w:r>
      <w:r w:rsidR="00042655" w:rsidRPr="00EC52DC">
        <w:rPr>
          <w:rFonts w:asciiTheme="majorBidi" w:hAnsiTheme="majorBidi" w:cstheme="majorBidi"/>
          <w:lang w:val="en-US"/>
        </w:rPr>
        <w:t>the</w:t>
      </w:r>
      <w:r w:rsidRPr="00EC52DC">
        <w:rPr>
          <w:rFonts w:asciiTheme="majorBidi" w:hAnsiTheme="majorBidi" w:cstheme="majorBidi"/>
          <w:lang w:val="en-US"/>
        </w:rPr>
        <w:t xml:space="preserve"> integrative understanding of bioenergy and water</w:t>
      </w:r>
      <w:r w:rsidR="00042655" w:rsidRPr="00EC52DC">
        <w:rPr>
          <w:rFonts w:asciiTheme="majorBidi" w:hAnsiTheme="majorBidi" w:cstheme="majorBidi"/>
          <w:lang w:val="en-US"/>
        </w:rPr>
        <w:t xml:space="preserve"> that </w:t>
      </w:r>
      <w:r w:rsidR="006B4B63" w:rsidRPr="00EC52DC">
        <w:rPr>
          <w:rFonts w:asciiTheme="majorBidi" w:hAnsiTheme="majorBidi" w:cstheme="majorBidi"/>
          <w:lang w:val="en-US"/>
        </w:rPr>
        <w:t>formed</w:t>
      </w:r>
      <w:r w:rsidR="00042655" w:rsidRPr="00EC52DC">
        <w:rPr>
          <w:rFonts w:asciiTheme="majorBidi" w:hAnsiTheme="majorBidi" w:cstheme="majorBidi"/>
          <w:lang w:val="en-US"/>
        </w:rPr>
        <w:t xml:space="preserve"> the basis for </w:t>
      </w:r>
      <w:r w:rsidR="006B4B63" w:rsidRPr="00EC52DC">
        <w:rPr>
          <w:rFonts w:asciiTheme="majorBidi" w:hAnsiTheme="majorBidi" w:cstheme="majorBidi"/>
          <w:lang w:val="en-US"/>
        </w:rPr>
        <w:t>activities in 2015-2016</w:t>
      </w:r>
      <w:r w:rsidR="00042655" w:rsidRPr="00EC52DC">
        <w:rPr>
          <w:rFonts w:asciiTheme="majorBidi" w:hAnsiTheme="majorBidi" w:cstheme="majorBidi"/>
          <w:lang w:val="en-US"/>
        </w:rPr>
        <w:t>. The aim is to</w:t>
      </w:r>
      <w:r w:rsidR="00D21C58" w:rsidRPr="00EC52DC">
        <w:rPr>
          <w:rFonts w:asciiTheme="majorBidi" w:hAnsiTheme="majorBidi" w:cstheme="majorBidi"/>
          <w:lang w:val="en-US"/>
        </w:rPr>
        <w:t xml:space="preserve"> </w:t>
      </w:r>
      <w:r w:rsidR="006B4B63" w:rsidRPr="00EC52DC">
        <w:rPr>
          <w:rFonts w:asciiTheme="majorBidi" w:hAnsiTheme="majorBidi" w:cstheme="majorBidi"/>
          <w:lang w:val="en-US"/>
        </w:rPr>
        <w:t xml:space="preserve">seek synergies with other initiatives within GBEP, to </w:t>
      </w:r>
      <w:r w:rsidR="00D21C58" w:rsidRPr="00EC52DC">
        <w:rPr>
          <w:rFonts w:asciiTheme="majorBidi" w:hAnsiTheme="majorBidi" w:cstheme="majorBidi"/>
          <w:lang w:val="en-US"/>
        </w:rPr>
        <w:t>contribute</w:t>
      </w:r>
      <w:r w:rsidRPr="00EC52DC">
        <w:rPr>
          <w:rFonts w:asciiTheme="majorBidi" w:hAnsiTheme="majorBidi" w:cstheme="majorBidi"/>
          <w:lang w:val="en-US"/>
        </w:rPr>
        <w:t xml:space="preserve"> to SDG impleme</w:t>
      </w:r>
      <w:r w:rsidR="00042655" w:rsidRPr="00EC52DC">
        <w:rPr>
          <w:rFonts w:asciiTheme="majorBidi" w:hAnsiTheme="majorBidi" w:cstheme="majorBidi"/>
          <w:lang w:val="en-US"/>
        </w:rPr>
        <w:t xml:space="preserve">ntation, and </w:t>
      </w:r>
      <w:r w:rsidR="006B4B63" w:rsidRPr="00EC52DC">
        <w:rPr>
          <w:rFonts w:asciiTheme="majorBidi" w:hAnsiTheme="majorBidi" w:cstheme="majorBidi"/>
          <w:lang w:val="en-US"/>
        </w:rPr>
        <w:t xml:space="preserve">to </w:t>
      </w:r>
      <w:r w:rsidR="00042655" w:rsidRPr="00EC52DC">
        <w:rPr>
          <w:rFonts w:asciiTheme="majorBidi" w:hAnsiTheme="majorBidi" w:cstheme="majorBidi"/>
          <w:lang w:val="en-US"/>
        </w:rPr>
        <w:t>continu</w:t>
      </w:r>
      <w:r w:rsidR="006B4B63" w:rsidRPr="00EC52DC">
        <w:rPr>
          <w:rFonts w:asciiTheme="majorBidi" w:hAnsiTheme="majorBidi" w:cstheme="majorBidi"/>
          <w:lang w:val="en-US"/>
        </w:rPr>
        <w:t>e</w:t>
      </w:r>
      <w:r w:rsidR="00042655" w:rsidRPr="00EC52DC">
        <w:rPr>
          <w:rFonts w:asciiTheme="majorBidi" w:hAnsiTheme="majorBidi" w:cstheme="majorBidi"/>
          <w:lang w:val="en-US"/>
        </w:rPr>
        <w:t xml:space="preserve"> collabora</w:t>
      </w:r>
      <w:r w:rsidRPr="00EC52DC">
        <w:rPr>
          <w:rFonts w:asciiTheme="majorBidi" w:hAnsiTheme="majorBidi" w:cstheme="majorBidi"/>
          <w:lang w:val="en-US"/>
        </w:rPr>
        <w:t xml:space="preserve">tion with IEA Bioenergy and interested partners. </w:t>
      </w:r>
    </w:p>
    <w:p w14:paraId="496B891E" w14:textId="5EB46391" w:rsidR="001E0FD1" w:rsidRPr="00EC52DC" w:rsidRDefault="00042655" w:rsidP="001E0FD1">
      <w:pPr>
        <w:spacing w:after="120"/>
        <w:ind w:firstLine="720"/>
        <w:jc w:val="both"/>
        <w:rPr>
          <w:rFonts w:asciiTheme="majorBidi" w:hAnsiTheme="majorBidi" w:cstheme="majorBidi"/>
          <w:b/>
          <w:lang w:val="en-US"/>
        </w:rPr>
      </w:pPr>
      <w:r w:rsidRPr="00EC52DC">
        <w:rPr>
          <w:rFonts w:asciiTheme="majorBidi" w:hAnsiTheme="majorBidi" w:cstheme="majorBidi"/>
          <w:lang w:val="en-US"/>
        </w:rPr>
        <w:t xml:space="preserve">The 2017 Scope of Work </w:t>
      </w:r>
      <w:proofErr w:type="gramStart"/>
      <w:r w:rsidRPr="00EC52DC">
        <w:rPr>
          <w:rFonts w:asciiTheme="majorBidi" w:hAnsiTheme="majorBidi" w:cstheme="majorBidi"/>
          <w:lang w:val="en-US"/>
        </w:rPr>
        <w:t>is based</w:t>
      </w:r>
      <w:proofErr w:type="gramEnd"/>
      <w:r w:rsidRPr="00EC52DC">
        <w:rPr>
          <w:rFonts w:asciiTheme="majorBidi" w:hAnsiTheme="majorBidi" w:cstheme="majorBidi"/>
          <w:lang w:val="en-US"/>
        </w:rPr>
        <w:t xml:space="preserve"> on the outcome of the AG6 workshop organized </w:t>
      </w:r>
      <w:r w:rsidR="001E0FD1" w:rsidRPr="00EC52DC">
        <w:rPr>
          <w:rFonts w:asciiTheme="majorBidi" w:hAnsiTheme="majorBidi" w:cstheme="majorBidi"/>
          <w:lang w:val="en-US"/>
        </w:rPr>
        <w:t>duri</w:t>
      </w:r>
      <w:r w:rsidR="00D21C58" w:rsidRPr="00EC52DC">
        <w:rPr>
          <w:rFonts w:asciiTheme="majorBidi" w:hAnsiTheme="majorBidi" w:cstheme="majorBidi"/>
          <w:lang w:val="en-US"/>
        </w:rPr>
        <w:t>ng the GBEP meetings in Rome</w:t>
      </w:r>
      <w:r w:rsidRPr="00EC52DC">
        <w:rPr>
          <w:rFonts w:asciiTheme="majorBidi" w:hAnsiTheme="majorBidi" w:cstheme="majorBidi"/>
          <w:lang w:val="en-US"/>
        </w:rPr>
        <w:t xml:space="preserve">, </w:t>
      </w:r>
      <w:r w:rsidR="006739B4" w:rsidRPr="00EC52DC">
        <w:rPr>
          <w:rFonts w:asciiTheme="majorBidi" w:hAnsiTheme="majorBidi" w:cstheme="majorBidi"/>
          <w:lang w:val="en-US"/>
        </w:rPr>
        <w:t>29 Nov - 2 Dec 2016</w:t>
      </w:r>
      <w:r w:rsidR="00D21C58" w:rsidRPr="00EC52DC">
        <w:rPr>
          <w:rFonts w:asciiTheme="majorBidi" w:hAnsiTheme="majorBidi" w:cstheme="majorBidi"/>
          <w:lang w:val="en-US"/>
        </w:rPr>
        <w:t>, as well as</w:t>
      </w:r>
      <w:r w:rsidR="001E0FD1" w:rsidRPr="00EC52DC">
        <w:rPr>
          <w:rFonts w:asciiTheme="majorBidi" w:hAnsiTheme="majorBidi" w:cstheme="majorBidi"/>
          <w:lang w:val="en-US"/>
        </w:rPr>
        <w:t xml:space="preserve"> contributions from </w:t>
      </w:r>
      <w:r w:rsidR="00D21C58" w:rsidRPr="00EC52DC">
        <w:rPr>
          <w:rFonts w:asciiTheme="majorBidi" w:hAnsiTheme="majorBidi" w:cstheme="majorBidi"/>
          <w:lang w:val="en-US"/>
        </w:rPr>
        <w:t>AG6 members</w:t>
      </w:r>
      <w:r w:rsidR="006739B4" w:rsidRPr="00EC52DC">
        <w:rPr>
          <w:rFonts w:asciiTheme="majorBidi" w:hAnsiTheme="majorBidi" w:cstheme="majorBidi"/>
          <w:lang w:val="en-US"/>
        </w:rPr>
        <w:t xml:space="preserve"> following this workshop.</w:t>
      </w:r>
      <w:r w:rsidR="001E0FD1" w:rsidRPr="00EC52DC">
        <w:rPr>
          <w:rFonts w:asciiTheme="majorBidi" w:hAnsiTheme="majorBidi" w:cstheme="majorBidi"/>
          <w:b/>
          <w:lang w:val="en-US"/>
        </w:rPr>
        <w:t xml:space="preserve"> </w:t>
      </w:r>
    </w:p>
    <w:p w14:paraId="496B891F" w14:textId="33811B4E" w:rsidR="001E0FD1" w:rsidRPr="00EC52DC" w:rsidRDefault="006739B4" w:rsidP="001E0FD1">
      <w:pPr>
        <w:ind w:firstLine="720"/>
        <w:jc w:val="both"/>
        <w:rPr>
          <w:rFonts w:asciiTheme="majorBidi" w:hAnsiTheme="majorBidi" w:cstheme="majorBidi"/>
          <w:lang w:val="en-US"/>
        </w:rPr>
      </w:pPr>
      <w:r w:rsidRPr="00EC52DC">
        <w:rPr>
          <w:rFonts w:asciiTheme="majorBidi" w:hAnsiTheme="majorBidi" w:cstheme="majorBidi"/>
          <w:b/>
          <w:lang w:val="en-US"/>
        </w:rPr>
        <w:t>In summary</w:t>
      </w:r>
      <w:r w:rsidRPr="00EC52DC">
        <w:rPr>
          <w:rFonts w:asciiTheme="majorBidi" w:hAnsiTheme="majorBidi" w:cstheme="majorBidi"/>
          <w:lang w:val="en-US"/>
        </w:rPr>
        <w:t>, the planned activities and deliverables</w:t>
      </w:r>
      <w:r w:rsidR="001E0FD1" w:rsidRPr="00EC52DC">
        <w:rPr>
          <w:rFonts w:asciiTheme="majorBidi" w:hAnsiTheme="majorBidi" w:cstheme="majorBidi"/>
          <w:lang w:val="en-US"/>
        </w:rPr>
        <w:t xml:space="preserve"> </w:t>
      </w:r>
      <w:r w:rsidRPr="00EC52DC">
        <w:rPr>
          <w:rFonts w:asciiTheme="majorBidi" w:hAnsiTheme="majorBidi" w:cstheme="majorBidi"/>
          <w:lang w:val="en-US"/>
        </w:rPr>
        <w:t>are</w:t>
      </w:r>
      <w:r w:rsidR="001E0FD1" w:rsidRPr="00EC52DC">
        <w:rPr>
          <w:rFonts w:asciiTheme="majorBidi" w:hAnsiTheme="majorBidi" w:cstheme="majorBidi"/>
          <w:lang w:val="en-US"/>
        </w:rPr>
        <w:t>:</w:t>
      </w:r>
    </w:p>
    <w:p w14:paraId="496B8920" w14:textId="0FF9D4FA" w:rsidR="001E0FD1" w:rsidRPr="00EC52DC" w:rsidRDefault="00EC52DC" w:rsidP="001E0FD1">
      <w:pPr>
        <w:pStyle w:val="ListParagraph"/>
        <w:numPr>
          <w:ilvl w:val="0"/>
          <w:numId w:val="23"/>
        </w:numPr>
        <w:spacing w:after="120"/>
        <w:jc w:val="both"/>
        <w:rPr>
          <w:rFonts w:asciiTheme="majorBidi" w:hAnsiTheme="majorBidi" w:cstheme="majorBidi"/>
        </w:rPr>
      </w:pPr>
      <w:r w:rsidRPr="00EC52DC">
        <w:rPr>
          <w:rFonts w:asciiTheme="majorBidi" w:hAnsiTheme="majorBidi" w:cstheme="majorBidi"/>
          <w:szCs w:val="24"/>
        </w:rPr>
        <w:t>C</w:t>
      </w:r>
      <w:r w:rsidR="001E0FD1" w:rsidRPr="00EC52DC">
        <w:rPr>
          <w:rFonts w:asciiTheme="majorBidi" w:hAnsiTheme="majorBidi" w:cstheme="majorBidi"/>
          <w:szCs w:val="24"/>
        </w:rPr>
        <w:t>ontribution to the GBEP TFS work on indicators (especially ENV Subgroup) and in particular to the proposed mid-2017 Workshop of the TFS on SDGs and GBEP Sustainability Indicators</w:t>
      </w:r>
      <w:r w:rsidR="001E0FD1" w:rsidRPr="00EC52DC">
        <w:rPr>
          <w:rFonts w:asciiTheme="majorBidi" w:hAnsiTheme="majorBidi" w:cstheme="majorBidi"/>
        </w:rPr>
        <w:t>;</w:t>
      </w:r>
    </w:p>
    <w:p w14:paraId="496B8921" w14:textId="28F3F963" w:rsidR="001E0FD1" w:rsidRPr="00EC52DC" w:rsidRDefault="00EC52DC" w:rsidP="001E0FD1">
      <w:pPr>
        <w:pStyle w:val="ListParagraph"/>
        <w:numPr>
          <w:ilvl w:val="0"/>
          <w:numId w:val="23"/>
        </w:numPr>
        <w:spacing w:after="120" w:line="240" w:lineRule="auto"/>
        <w:jc w:val="both"/>
        <w:rPr>
          <w:rFonts w:asciiTheme="majorBidi" w:hAnsiTheme="majorBidi" w:cstheme="majorBidi"/>
          <w:szCs w:val="24"/>
        </w:rPr>
      </w:pPr>
      <w:r w:rsidRPr="00EC52DC">
        <w:rPr>
          <w:rFonts w:asciiTheme="majorBidi" w:hAnsiTheme="majorBidi" w:cstheme="majorBidi"/>
          <w:szCs w:val="24"/>
        </w:rPr>
        <w:t xml:space="preserve">Preparation of </w:t>
      </w:r>
      <w:r w:rsidR="001E0FD1" w:rsidRPr="00EC52DC">
        <w:rPr>
          <w:rFonts w:asciiTheme="majorBidi" w:hAnsiTheme="majorBidi" w:cstheme="majorBidi"/>
          <w:szCs w:val="24"/>
        </w:rPr>
        <w:t>a</w:t>
      </w:r>
      <w:r w:rsidR="00313B5D" w:rsidRPr="00EC52DC">
        <w:rPr>
          <w:rFonts w:asciiTheme="majorBidi" w:hAnsiTheme="majorBidi" w:cstheme="majorBidi"/>
          <w:szCs w:val="24"/>
        </w:rPr>
        <w:t xml:space="preserve"> </w:t>
      </w:r>
      <w:r w:rsidR="001E0FD1" w:rsidRPr="00EC52DC">
        <w:rPr>
          <w:rFonts w:asciiTheme="majorBidi" w:hAnsiTheme="majorBidi" w:cstheme="majorBidi"/>
          <w:szCs w:val="24"/>
        </w:rPr>
        <w:t xml:space="preserve">“memo” </w:t>
      </w:r>
      <w:r w:rsidR="00313B5D" w:rsidRPr="00EC52DC">
        <w:rPr>
          <w:rFonts w:asciiTheme="majorBidi" w:hAnsiTheme="majorBidi" w:cstheme="majorBidi"/>
          <w:szCs w:val="24"/>
        </w:rPr>
        <w:t>on</w:t>
      </w:r>
      <w:r w:rsidR="001E0FD1" w:rsidRPr="00EC52DC">
        <w:rPr>
          <w:rFonts w:asciiTheme="majorBidi" w:hAnsiTheme="majorBidi" w:cstheme="majorBidi"/>
          <w:szCs w:val="24"/>
        </w:rPr>
        <w:t xml:space="preserve"> SDGs implementation and bioenergy/water, with a </w:t>
      </w:r>
      <w:r w:rsidR="001E0FD1" w:rsidRPr="00EC52DC">
        <w:rPr>
          <w:rFonts w:asciiTheme="majorBidi" w:hAnsiTheme="majorBidi" w:cstheme="majorBidi"/>
          <w:bCs/>
          <w:i/>
          <w:iCs/>
          <w:szCs w:val="24"/>
        </w:rPr>
        <w:t>focus on policies and tools</w:t>
      </w:r>
      <w:r w:rsidR="001E0FD1" w:rsidRPr="00EC52DC">
        <w:rPr>
          <w:rFonts w:asciiTheme="majorBidi" w:hAnsiTheme="majorBidi" w:cstheme="majorBidi"/>
          <w:szCs w:val="24"/>
        </w:rPr>
        <w:t xml:space="preserve"> (e.g. best practices) to realize synergies between sustainable bioenergy implementation and sustainable water resource management, considering linkages to biodiversity, land use, livelihoods, and rural development; and</w:t>
      </w:r>
    </w:p>
    <w:p w14:paraId="496B8951" w14:textId="32B30543" w:rsidR="006E5F73" w:rsidRPr="00EC52DC" w:rsidRDefault="001E0FD1" w:rsidP="00042655">
      <w:pPr>
        <w:pStyle w:val="ListParagraph"/>
        <w:numPr>
          <w:ilvl w:val="0"/>
          <w:numId w:val="23"/>
        </w:numPr>
        <w:spacing w:after="0" w:line="240" w:lineRule="auto"/>
        <w:jc w:val="both"/>
        <w:rPr>
          <w:i/>
        </w:rPr>
      </w:pPr>
      <w:r w:rsidRPr="00EC52DC">
        <w:rPr>
          <w:rFonts w:asciiTheme="majorBidi" w:hAnsiTheme="majorBidi" w:cstheme="majorBidi"/>
        </w:rPr>
        <w:lastRenderedPageBreak/>
        <w:t>AG6 event during the 2017 World Water Week (Stockholm, 27 August – 1 September 2017)</w:t>
      </w:r>
      <w:r w:rsidRPr="00EC52DC">
        <w:rPr>
          <w:rFonts w:asciiTheme="majorBidi" w:hAnsiTheme="majorBidi" w:cstheme="majorBidi"/>
          <w:szCs w:val="24"/>
        </w:rPr>
        <w:t xml:space="preserve"> to disseminate AG6 results to a broader audience.</w:t>
      </w:r>
    </w:p>
    <w:p w14:paraId="243F0F6B" w14:textId="77777777" w:rsidR="00313B5D" w:rsidRPr="00EC52DC" w:rsidRDefault="00313B5D" w:rsidP="00313B5D">
      <w:pPr>
        <w:jc w:val="both"/>
        <w:rPr>
          <w:lang w:val="en-US"/>
        </w:rPr>
      </w:pPr>
    </w:p>
    <w:p w14:paraId="3E2D75C2" w14:textId="77777777" w:rsidR="00F208A2" w:rsidRPr="00677F79" w:rsidRDefault="00F208A2" w:rsidP="00F208A2">
      <w:pPr>
        <w:spacing w:before="240" w:after="120"/>
        <w:rPr>
          <w:rFonts w:asciiTheme="majorBidi" w:hAnsiTheme="majorBidi" w:cstheme="majorBidi"/>
          <w:b/>
          <w:bCs/>
          <w:iCs/>
          <w:lang w:val="en-US"/>
        </w:rPr>
      </w:pPr>
      <w:r w:rsidRPr="00677F79">
        <w:rPr>
          <w:rFonts w:asciiTheme="majorBidi" w:hAnsiTheme="majorBidi" w:cstheme="majorBidi"/>
          <w:b/>
          <w:bCs/>
          <w:iCs/>
          <w:lang w:val="en-US"/>
        </w:rPr>
        <w:t>Work plan and timetable</w:t>
      </w:r>
    </w:p>
    <w:p w14:paraId="3175D8D7" w14:textId="42A14144" w:rsidR="008B104B" w:rsidRPr="00EC52DC" w:rsidRDefault="00F208A2" w:rsidP="00B7494C">
      <w:pPr>
        <w:jc w:val="both"/>
        <w:rPr>
          <w:lang w:val="en-US"/>
        </w:rPr>
      </w:pPr>
      <w:r>
        <w:rPr>
          <w:lang w:val="en-US"/>
        </w:rPr>
        <w:t xml:space="preserve">Planned activities and deliverables for AG6 in 2017 </w:t>
      </w:r>
      <w:proofErr w:type="gramStart"/>
      <w:r w:rsidR="008B104B" w:rsidRPr="00EC52DC">
        <w:rPr>
          <w:lang w:val="en-US"/>
        </w:rPr>
        <w:t>are further described</w:t>
      </w:r>
      <w:proofErr w:type="gramEnd"/>
      <w:r w:rsidR="008B104B" w:rsidRPr="00EC52DC">
        <w:rPr>
          <w:lang w:val="en-US"/>
        </w:rPr>
        <w:t xml:space="preserve"> below.</w:t>
      </w:r>
    </w:p>
    <w:p w14:paraId="7C78B8D5" w14:textId="77777777" w:rsidR="00F208A2" w:rsidRDefault="00F208A2" w:rsidP="00677F79">
      <w:pPr>
        <w:rPr>
          <w:lang w:val="en-US"/>
        </w:rPr>
      </w:pPr>
    </w:p>
    <w:p w14:paraId="223F40BB" w14:textId="6DE93D83" w:rsidR="00313B5D" w:rsidRPr="00677F79" w:rsidRDefault="00313B5D" w:rsidP="00677F79">
      <w:pPr>
        <w:pStyle w:val="ListParagraph"/>
        <w:numPr>
          <w:ilvl w:val="0"/>
          <w:numId w:val="29"/>
        </w:numPr>
        <w:spacing w:after="0"/>
        <w:jc w:val="both"/>
        <w:rPr>
          <w:rFonts w:asciiTheme="majorBidi" w:hAnsiTheme="majorBidi"/>
          <w:i/>
          <w:iCs/>
        </w:rPr>
      </w:pPr>
      <w:r w:rsidRPr="00677F79">
        <w:rPr>
          <w:rFonts w:asciiTheme="majorBidi" w:hAnsiTheme="majorBidi" w:cstheme="majorBidi"/>
          <w:b/>
          <w:bCs/>
          <w:i/>
          <w:iCs/>
        </w:rPr>
        <w:t>Contribution to the GBEP TFS work on indicators</w:t>
      </w:r>
    </w:p>
    <w:p w14:paraId="01118135" w14:textId="24BB63DC" w:rsidR="00080B0D" w:rsidRPr="00677F79" w:rsidRDefault="00080B0D" w:rsidP="00677F79">
      <w:pPr>
        <w:jc w:val="both"/>
        <w:rPr>
          <w:rFonts w:asciiTheme="majorBidi" w:hAnsiTheme="majorBidi" w:cstheme="majorBidi"/>
          <w:lang w:val="en-US"/>
        </w:rPr>
      </w:pPr>
      <w:r w:rsidRPr="00677F79">
        <w:rPr>
          <w:rFonts w:asciiTheme="majorBidi" w:hAnsiTheme="majorBidi" w:cstheme="majorBidi"/>
          <w:lang w:val="en-US"/>
        </w:rPr>
        <w:t>The GBEP Task Force on Sustainability (TFS) Environment Subgroup (ENV) expressed informally its interest in having AG6 preparing input to the ENV discussions on the water-related GBEP Sustainability Indicator (GSI), i.e. GSI 5</w:t>
      </w:r>
      <w:r w:rsidR="00F208A2">
        <w:rPr>
          <w:rFonts w:asciiTheme="majorBidi" w:hAnsiTheme="majorBidi" w:cstheme="majorBidi"/>
          <w:lang w:val="en-US"/>
        </w:rPr>
        <w:t xml:space="preserve"> and </w:t>
      </w:r>
      <w:r w:rsidRPr="00677F79">
        <w:rPr>
          <w:rFonts w:asciiTheme="majorBidi" w:hAnsiTheme="majorBidi" w:cstheme="majorBidi"/>
          <w:lang w:val="en-US"/>
        </w:rPr>
        <w:t xml:space="preserve">6. The ENV will decide on its </w:t>
      </w:r>
      <w:r w:rsidR="00F208A2" w:rsidRPr="00C9570E">
        <w:rPr>
          <w:rFonts w:asciiTheme="majorBidi" w:hAnsiTheme="majorBidi" w:cstheme="majorBidi"/>
          <w:lang w:val="en-US"/>
        </w:rPr>
        <w:t>2017</w:t>
      </w:r>
      <w:r w:rsidR="00F208A2">
        <w:rPr>
          <w:rFonts w:asciiTheme="majorBidi" w:hAnsiTheme="majorBidi" w:cstheme="majorBidi"/>
          <w:lang w:val="en-US"/>
        </w:rPr>
        <w:t xml:space="preserve"> </w:t>
      </w:r>
      <w:proofErr w:type="spellStart"/>
      <w:r w:rsidRPr="00677F79">
        <w:rPr>
          <w:rFonts w:asciiTheme="majorBidi" w:hAnsiTheme="majorBidi" w:cstheme="majorBidi"/>
          <w:lang w:val="en-US"/>
        </w:rPr>
        <w:t>workplan</w:t>
      </w:r>
      <w:proofErr w:type="spellEnd"/>
      <w:r w:rsidRPr="00677F79">
        <w:rPr>
          <w:rFonts w:asciiTheme="majorBidi" w:hAnsiTheme="majorBidi" w:cstheme="majorBidi"/>
          <w:lang w:val="en-US"/>
        </w:rPr>
        <w:t xml:space="preserve"> by end of February, and it </w:t>
      </w:r>
      <w:proofErr w:type="gramStart"/>
      <w:r w:rsidRPr="00677F79">
        <w:rPr>
          <w:rFonts w:asciiTheme="majorBidi" w:hAnsiTheme="majorBidi" w:cstheme="majorBidi"/>
          <w:lang w:val="en-US"/>
        </w:rPr>
        <w:t>is expected</w:t>
      </w:r>
      <w:proofErr w:type="gramEnd"/>
      <w:r w:rsidRPr="00677F79">
        <w:rPr>
          <w:rFonts w:asciiTheme="majorBidi" w:hAnsiTheme="majorBidi" w:cstheme="majorBidi"/>
          <w:lang w:val="en-US"/>
        </w:rPr>
        <w:t xml:space="preserve"> that the water-related indicators will be discussed in a virtual ENV meeting planned for early July. AG6 members </w:t>
      </w:r>
      <w:proofErr w:type="gramStart"/>
      <w:r w:rsidRPr="00677F79">
        <w:rPr>
          <w:rFonts w:asciiTheme="majorBidi" w:hAnsiTheme="majorBidi" w:cstheme="majorBidi"/>
          <w:lang w:val="en-US"/>
        </w:rPr>
        <w:t>would be either invited</w:t>
      </w:r>
      <w:proofErr w:type="gramEnd"/>
      <w:r w:rsidRPr="00677F79">
        <w:rPr>
          <w:rFonts w:asciiTheme="majorBidi" w:hAnsiTheme="majorBidi" w:cstheme="majorBidi"/>
          <w:lang w:val="en-US"/>
        </w:rPr>
        <w:t xml:space="preserve"> to join this meeting, and/or prepare written input. </w:t>
      </w:r>
    </w:p>
    <w:p w14:paraId="51E6D51A" w14:textId="77777777" w:rsidR="00080B0D" w:rsidRPr="00677F79" w:rsidRDefault="00080B0D" w:rsidP="00677F79">
      <w:pPr>
        <w:jc w:val="both"/>
        <w:rPr>
          <w:rFonts w:asciiTheme="majorBidi" w:hAnsiTheme="majorBidi" w:cstheme="majorBidi"/>
          <w:lang w:val="en-US"/>
        </w:rPr>
      </w:pPr>
    </w:p>
    <w:p w14:paraId="0BD973F8" w14:textId="45711829" w:rsidR="00937068" w:rsidRPr="00677F79" w:rsidRDefault="00080B0D" w:rsidP="00677F79">
      <w:pPr>
        <w:jc w:val="both"/>
        <w:rPr>
          <w:rFonts w:asciiTheme="majorBidi" w:hAnsiTheme="majorBidi" w:cstheme="majorBidi"/>
          <w:lang w:val="en-US"/>
        </w:rPr>
      </w:pPr>
      <w:r w:rsidRPr="00677F79">
        <w:rPr>
          <w:rFonts w:asciiTheme="majorBidi" w:hAnsiTheme="majorBidi" w:cstheme="majorBidi"/>
          <w:lang w:val="en-US"/>
        </w:rPr>
        <w:t xml:space="preserve">As the </w:t>
      </w:r>
      <w:r w:rsidRPr="00677F79">
        <w:rPr>
          <w:rFonts w:asciiTheme="majorBidi" w:hAnsiTheme="majorBidi" w:cstheme="majorBidi"/>
          <w:b/>
          <w:lang w:val="en-US"/>
        </w:rPr>
        <w:t>SDG</w:t>
      </w:r>
      <w:r w:rsidRPr="00677F79">
        <w:rPr>
          <w:rFonts w:asciiTheme="majorBidi" w:hAnsiTheme="majorBidi" w:cstheme="majorBidi"/>
          <w:lang w:val="en-US"/>
        </w:rPr>
        <w:t xml:space="preserve"> indicator development is relevant for the GSI, AG6 participants are encouraged to take note of the SDG-GSI linkages paper (draft expected for April/May 2017). This draft is to </w:t>
      </w:r>
      <w:proofErr w:type="gramStart"/>
      <w:r w:rsidRPr="00677F79">
        <w:rPr>
          <w:rFonts w:asciiTheme="majorBidi" w:hAnsiTheme="majorBidi" w:cstheme="majorBidi"/>
          <w:lang w:val="en-US"/>
        </w:rPr>
        <w:t>be discussed</w:t>
      </w:r>
      <w:proofErr w:type="gramEnd"/>
      <w:r w:rsidRPr="00677F79">
        <w:rPr>
          <w:rFonts w:asciiTheme="majorBidi" w:hAnsiTheme="majorBidi" w:cstheme="majorBidi"/>
          <w:lang w:val="en-US"/>
        </w:rPr>
        <w:t xml:space="preserve"> during a workshop (tentatively scheduled for early July 2017 in Bonn, Germany) which may be an interesting opportunity to also discuss respective water-related SDG and GSI issues for those who participate. </w:t>
      </w:r>
    </w:p>
    <w:p w14:paraId="3B0C5B53" w14:textId="6DEFB6B7" w:rsidR="00313B5D" w:rsidRPr="00677F79" w:rsidRDefault="00313B5D" w:rsidP="00677F79">
      <w:pPr>
        <w:pStyle w:val="Heading1"/>
        <w:numPr>
          <w:ilvl w:val="0"/>
          <w:numId w:val="29"/>
        </w:numPr>
        <w:jc w:val="both"/>
        <w:rPr>
          <w:rFonts w:asciiTheme="majorBidi" w:hAnsiTheme="majorBidi"/>
          <w:i/>
          <w:iCs/>
          <w:lang w:val="en-US"/>
        </w:rPr>
      </w:pPr>
      <w:r w:rsidRPr="00677F79">
        <w:rPr>
          <w:rFonts w:asciiTheme="majorBidi" w:hAnsiTheme="majorBidi"/>
          <w:i/>
          <w:iCs/>
          <w:lang w:val="en-US"/>
        </w:rPr>
        <w:t>Memo on SDGs implementation and bioenergy/water</w:t>
      </w:r>
    </w:p>
    <w:p w14:paraId="4657CD90" w14:textId="731B319B" w:rsidR="008B104B" w:rsidRPr="00677F79" w:rsidRDefault="00937068" w:rsidP="00677F79">
      <w:pPr>
        <w:jc w:val="both"/>
        <w:rPr>
          <w:rFonts w:asciiTheme="majorBidi" w:hAnsiTheme="majorBidi" w:cstheme="majorBidi"/>
          <w:lang w:val="en-US"/>
        </w:rPr>
      </w:pPr>
      <w:r w:rsidRPr="00677F79">
        <w:rPr>
          <w:rFonts w:asciiTheme="majorBidi" w:hAnsiTheme="majorBidi" w:cstheme="majorBidi"/>
          <w:lang w:val="en-US"/>
        </w:rPr>
        <w:t>This memo aim</w:t>
      </w:r>
      <w:r w:rsidR="00F208A2">
        <w:rPr>
          <w:rFonts w:asciiTheme="majorBidi" w:hAnsiTheme="majorBidi" w:cstheme="majorBidi"/>
          <w:lang w:val="en-US"/>
        </w:rPr>
        <w:t>s</w:t>
      </w:r>
      <w:r w:rsidRPr="00677F79">
        <w:rPr>
          <w:rFonts w:asciiTheme="majorBidi" w:hAnsiTheme="majorBidi" w:cstheme="majorBidi"/>
          <w:lang w:val="en-US"/>
        </w:rPr>
        <w:t xml:space="preserve"> to raise awareness of how bioenergy systems can support the implementation of SGDs that have linkages with </w:t>
      </w:r>
      <w:r w:rsidR="003968D2" w:rsidRPr="00677F79">
        <w:rPr>
          <w:rFonts w:asciiTheme="majorBidi" w:hAnsiTheme="majorBidi" w:cstheme="majorBidi"/>
          <w:lang w:val="en-US"/>
        </w:rPr>
        <w:t xml:space="preserve">energy and </w:t>
      </w:r>
      <w:r w:rsidRPr="00677F79">
        <w:rPr>
          <w:rFonts w:asciiTheme="majorBidi" w:hAnsiTheme="majorBidi" w:cstheme="majorBidi"/>
          <w:lang w:val="en-US"/>
        </w:rPr>
        <w:t>water</w:t>
      </w:r>
      <w:r w:rsidR="004B47A2" w:rsidRPr="00677F79">
        <w:rPr>
          <w:rFonts w:asciiTheme="majorBidi" w:hAnsiTheme="majorBidi" w:cstheme="majorBidi"/>
          <w:lang w:val="en-US"/>
        </w:rPr>
        <w:t>, i.e., primarily SDG</w:t>
      </w:r>
      <w:r w:rsidR="00EC52DC" w:rsidRPr="00677F79">
        <w:rPr>
          <w:rFonts w:asciiTheme="majorBidi" w:hAnsiTheme="majorBidi" w:cstheme="majorBidi"/>
          <w:lang w:val="en-US"/>
        </w:rPr>
        <w:t xml:space="preserve"> </w:t>
      </w:r>
      <w:r w:rsidR="004B47A2" w:rsidRPr="00677F79">
        <w:rPr>
          <w:rFonts w:asciiTheme="majorBidi" w:hAnsiTheme="majorBidi" w:cstheme="majorBidi"/>
          <w:lang w:val="en-US"/>
        </w:rPr>
        <w:t xml:space="preserve">6 </w:t>
      </w:r>
      <w:r w:rsidR="00105899" w:rsidRPr="00677F79">
        <w:rPr>
          <w:rFonts w:asciiTheme="majorBidi" w:hAnsiTheme="majorBidi" w:cstheme="majorBidi"/>
          <w:lang w:val="en-US"/>
        </w:rPr>
        <w:t xml:space="preserve">- </w:t>
      </w:r>
      <w:r w:rsidR="00105899" w:rsidRPr="00677F79">
        <w:rPr>
          <w:rFonts w:asciiTheme="majorBidi" w:hAnsiTheme="majorBidi" w:cstheme="majorBidi"/>
          <w:i/>
          <w:lang w:val="en-US"/>
        </w:rPr>
        <w:t>Ensure Availability and Sustainable Management of Water and Sanitation for All</w:t>
      </w:r>
      <w:r w:rsidR="00105899" w:rsidRPr="00677F79">
        <w:rPr>
          <w:rFonts w:asciiTheme="majorBidi" w:hAnsiTheme="majorBidi" w:cstheme="majorBidi"/>
          <w:lang w:val="en-US"/>
        </w:rPr>
        <w:t xml:space="preserve"> </w:t>
      </w:r>
      <w:r w:rsidR="004B47A2" w:rsidRPr="00677F79">
        <w:rPr>
          <w:rFonts w:asciiTheme="majorBidi" w:hAnsiTheme="majorBidi" w:cstheme="majorBidi"/>
          <w:lang w:val="en-US"/>
        </w:rPr>
        <w:t>and SDG</w:t>
      </w:r>
      <w:r w:rsidR="00EC52DC" w:rsidRPr="00677F79">
        <w:rPr>
          <w:rFonts w:asciiTheme="majorBidi" w:hAnsiTheme="majorBidi" w:cstheme="majorBidi"/>
          <w:lang w:val="en-US"/>
        </w:rPr>
        <w:t xml:space="preserve"> </w:t>
      </w:r>
      <w:r w:rsidR="004B47A2" w:rsidRPr="00677F79">
        <w:rPr>
          <w:rFonts w:asciiTheme="majorBidi" w:hAnsiTheme="majorBidi" w:cstheme="majorBidi"/>
          <w:lang w:val="en-US"/>
        </w:rPr>
        <w:t>7</w:t>
      </w:r>
      <w:r w:rsidR="00105899" w:rsidRPr="00677F79">
        <w:rPr>
          <w:rFonts w:asciiTheme="majorBidi" w:hAnsiTheme="majorBidi" w:cstheme="majorBidi"/>
          <w:lang w:val="en-US"/>
        </w:rPr>
        <w:t xml:space="preserve"> - </w:t>
      </w:r>
      <w:r w:rsidR="00105899" w:rsidRPr="00677F79">
        <w:rPr>
          <w:rFonts w:asciiTheme="majorBidi" w:hAnsiTheme="majorBidi" w:cstheme="majorBidi"/>
          <w:i/>
          <w:lang w:val="en-US"/>
        </w:rPr>
        <w:t>Ensure access to affordable, reliable, sustainable and modern energy for all</w:t>
      </w:r>
      <w:r w:rsidR="004B47A2" w:rsidRPr="00677F79">
        <w:rPr>
          <w:rFonts w:asciiTheme="majorBidi" w:hAnsiTheme="majorBidi" w:cstheme="majorBidi"/>
          <w:lang w:val="en-US"/>
        </w:rPr>
        <w:t>.</w:t>
      </w:r>
    </w:p>
    <w:p w14:paraId="6E99638C" w14:textId="533DBBD3" w:rsidR="005E7786" w:rsidRPr="00677F79" w:rsidRDefault="00B41A06" w:rsidP="00677F79">
      <w:pPr>
        <w:jc w:val="both"/>
        <w:rPr>
          <w:rFonts w:asciiTheme="majorBidi" w:hAnsiTheme="majorBidi" w:cstheme="majorBidi"/>
          <w:lang w:val="en-US"/>
        </w:rPr>
      </w:pPr>
      <w:r w:rsidRPr="00677F79">
        <w:rPr>
          <w:rFonts w:asciiTheme="majorBidi" w:hAnsiTheme="majorBidi" w:cstheme="majorBidi"/>
          <w:lang w:val="en-US"/>
        </w:rPr>
        <w:t>The memo will</w:t>
      </w:r>
      <w:r w:rsidR="00F90D30" w:rsidRPr="00677F79">
        <w:rPr>
          <w:rFonts w:asciiTheme="majorBidi" w:hAnsiTheme="majorBidi" w:cstheme="majorBidi"/>
          <w:lang w:val="en-US"/>
        </w:rPr>
        <w:t xml:space="preserve"> focus on policies and tools (e.g., best practices) to realize synergies between sustainable bioenergy implementation and sustainable water resource management, considering linkages to biodiversity, land use, livelihoods, and rural development.</w:t>
      </w:r>
      <w:r w:rsidR="005E7786" w:rsidRPr="00677F79">
        <w:rPr>
          <w:rFonts w:asciiTheme="majorBidi" w:hAnsiTheme="majorBidi" w:cstheme="majorBidi"/>
          <w:lang w:val="en-US"/>
        </w:rPr>
        <w:t xml:space="preserve"> The memo will also help to raise awareness about the GBEP sustainability indicators on water.</w:t>
      </w:r>
    </w:p>
    <w:p w14:paraId="22C78470" w14:textId="025B5CDB" w:rsidR="005E33A9" w:rsidRPr="00677F79" w:rsidRDefault="005E33A9" w:rsidP="00677F79">
      <w:pPr>
        <w:jc w:val="both"/>
        <w:rPr>
          <w:rFonts w:asciiTheme="majorBidi" w:hAnsiTheme="majorBidi" w:cstheme="majorBidi"/>
          <w:lang w:val="en-US"/>
        </w:rPr>
      </w:pPr>
      <w:r w:rsidRPr="00677F79">
        <w:rPr>
          <w:rFonts w:asciiTheme="majorBidi" w:hAnsiTheme="majorBidi" w:cstheme="majorBidi"/>
          <w:lang w:val="en-US"/>
        </w:rPr>
        <w:t xml:space="preserve">It </w:t>
      </w:r>
      <w:proofErr w:type="gramStart"/>
      <w:r w:rsidRPr="00677F79">
        <w:rPr>
          <w:rFonts w:asciiTheme="majorBidi" w:hAnsiTheme="majorBidi" w:cstheme="majorBidi"/>
          <w:lang w:val="en-US"/>
        </w:rPr>
        <w:t>is proposed</w:t>
      </w:r>
      <w:proofErr w:type="gramEnd"/>
      <w:r w:rsidRPr="00677F79">
        <w:rPr>
          <w:rFonts w:asciiTheme="majorBidi" w:hAnsiTheme="majorBidi" w:cstheme="majorBidi"/>
          <w:lang w:val="en-US"/>
        </w:rPr>
        <w:t xml:space="preserve"> that the AG6 </w:t>
      </w:r>
      <w:r w:rsidR="007B1CA5" w:rsidRPr="00677F79">
        <w:rPr>
          <w:rFonts w:asciiTheme="majorBidi" w:hAnsiTheme="majorBidi" w:cstheme="majorBidi"/>
          <w:lang w:val="en-US"/>
        </w:rPr>
        <w:t xml:space="preserve">members nominates and appoints a number of experts that engages in a </w:t>
      </w:r>
      <w:r w:rsidRPr="00677F79">
        <w:rPr>
          <w:rFonts w:asciiTheme="majorBidi" w:hAnsiTheme="majorBidi" w:cstheme="majorBidi"/>
          <w:lang w:val="en-US"/>
        </w:rPr>
        <w:t xml:space="preserve">working group, </w:t>
      </w:r>
      <w:r w:rsidR="007B1CA5" w:rsidRPr="00677F79">
        <w:rPr>
          <w:rFonts w:asciiTheme="majorBidi" w:hAnsiTheme="majorBidi" w:cstheme="majorBidi"/>
          <w:lang w:val="en-US"/>
        </w:rPr>
        <w:t>including also</w:t>
      </w:r>
      <w:r w:rsidRPr="00677F79">
        <w:rPr>
          <w:rFonts w:asciiTheme="majorBidi" w:hAnsiTheme="majorBidi" w:cstheme="majorBidi"/>
          <w:lang w:val="en-US"/>
        </w:rPr>
        <w:t xml:space="preserve"> </w:t>
      </w:r>
      <w:r w:rsidR="00F208A2">
        <w:rPr>
          <w:rFonts w:asciiTheme="majorBidi" w:hAnsiTheme="majorBidi" w:cstheme="majorBidi"/>
          <w:lang w:val="en-US"/>
        </w:rPr>
        <w:t xml:space="preserve">the </w:t>
      </w:r>
      <w:r w:rsidRPr="00677F79">
        <w:rPr>
          <w:rFonts w:asciiTheme="majorBidi" w:hAnsiTheme="majorBidi" w:cstheme="majorBidi"/>
          <w:lang w:val="en-US"/>
        </w:rPr>
        <w:t>AG6 co-</w:t>
      </w:r>
      <w:r w:rsidR="00EC52DC" w:rsidRPr="00677F79">
        <w:rPr>
          <w:rFonts w:asciiTheme="majorBidi" w:hAnsiTheme="majorBidi" w:cstheme="majorBidi"/>
          <w:lang w:val="en-US"/>
        </w:rPr>
        <w:t xml:space="preserve">leads </w:t>
      </w:r>
      <w:r w:rsidR="00E42289" w:rsidRPr="00677F79">
        <w:rPr>
          <w:rFonts w:asciiTheme="majorBidi" w:hAnsiTheme="majorBidi" w:cstheme="majorBidi"/>
          <w:lang w:val="en-US"/>
        </w:rPr>
        <w:t xml:space="preserve">and the </w:t>
      </w:r>
      <w:r w:rsidRPr="00677F79">
        <w:rPr>
          <w:rFonts w:asciiTheme="majorBidi" w:hAnsiTheme="majorBidi" w:cstheme="majorBidi"/>
          <w:lang w:val="en-US"/>
        </w:rPr>
        <w:t xml:space="preserve">GBEP </w:t>
      </w:r>
      <w:r w:rsidR="00EC52DC" w:rsidRPr="00677F79">
        <w:rPr>
          <w:rFonts w:asciiTheme="majorBidi" w:hAnsiTheme="majorBidi" w:cstheme="majorBidi"/>
          <w:lang w:val="en-US"/>
        </w:rPr>
        <w:t>S</w:t>
      </w:r>
      <w:r w:rsidRPr="00677F79">
        <w:rPr>
          <w:rFonts w:asciiTheme="majorBidi" w:hAnsiTheme="majorBidi" w:cstheme="majorBidi"/>
          <w:lang w:val="en-US"/>
        </w:rPr>
        <w:t>ecretariat</w:t>
      </w:r>
      <w:r w:rsidR="00DD7C49" w:rsidRPr="00677F79">
        <w:rPr>
          <w:rFonts w:asciiTheme="majorBidi" w:hAnsiTheme="majorBidi" w:cstheme="majorBidi"/>
          <w:lang w:val="en-US"/>
        </w:rPr>
        <w:t xml:space="preserve">. </w:t>
      </w:r>
    </w:p>
    <w:p w14:paraId="67327223" w14:textId="15299146" w:rsidR="00C30E3A" w:rsidRPr="00677F79" w:rsidRDefault="00B41A06" w:rsidP="00677F79">
      <w:pPr>
        <w:jc w:val="both"/>
        <w:rPr>
          <w:rFonts w:asciiTheme="majorBidi" w:hAnsiTheme="majorBidi" w:cstheme="majorBidi"/>
          <w:lang w:val="en-US"/>
        </w:rPr>
      </w:pPr>
      <w:r w:rsidRPr="00677F79">
        <w:rPr>
          <w:rFonts w:asciiTheme="majorBidi" w:hAnsiTheme="majorBidi" w:cstheme="majorBidi"/>
          <w:lang w:val="en-US"/>
        </w:rPr>
        <w:t xml:space="preserve">In support of this activity - </w:t>
      </w:r>
      <w:proofErr w:type="gramStart"/>
      <w:r w:rsidRPr="00677F79">
        <w:rPr>
          <w:rFonts w:asciiTheme="majorBidi" w:hAnsiTheme="majorBidi" w:cstheme="majorBidi"/>
          <w:lang w:val="en-US"/>
        </w:rPr>
        <w:t>and also</w:t>
      </w:r>
      <w:proofErr w:type="gramEnd"/>
      <w:r w:rsidRPr="00677F79">
        <w:rPr>
          <w:rFonts w:asciiTheme="majorBidi" w:hAnsiTheme="majorBidi" w:cstheme="majorBidi"/>
          <w:lang w:val="en-US"/>
        </w:rPr>
        <w:t xml:space="preserve"> the </w:t>
      </w:r>
      <w:r w:rsidR="00F90D30" w:rsidRPr="00677F79">
        <w:rPr>
          <w:rFonts w:asciiTheme="majorBidi" w:hAnsiTheme="majorBidi" w:cstheme="majorBidi"/>
          <w:lang w:val="en-US"/>
        </w:rPr>
        <w:t xml:space="preserve">proposed </w:t>
      </w:r>
      <w:r w:rsidRPr="00677F79">
        <w:rPr>
          <w:rFonts w:asciiTheme="majorBidi" w:hAnsiTheme="majorBidi" w:cstheme="majorBidi"/>
          <w:lang w:val="en-US"/>
        </w:rPr>
        <w:t xml:space="preserve">AG6 event during the 2017 World Water Week - </w:t>
      </w:r>
      <w:r w:rsidR="00C30E3A" w:rsidRPr="00677F79">
        <w:rPr>
          <w:rFonts w:asciiTheme="majorBidi" w:hAnsiTheme="majorBidi" w:cstheme="majorBidi"/>
          <w:lang w:val="en-US"/>
        </w:rPr>
        <w:t>IEA Bioenergy Task 43</w:t>
      </w:r>
      <w:r w:rsidR="00F90D30" w:rsidRPr="00677F79">
        <w:rPr>
          <w:rFonts w:asciiTheme="majorBidi" w:hAnsiTheme="majorBidi" w:cstheme="majorBidi"/>
          <w:lang w:val="en-US"/>
        </w:rPr>
        <w:t xml:space="preserve"> will produce a new report on </w:t>
      </w:r>
      <w:r w:rsidR="000A262E" w:rsidRPr="00677F79">
        <w:rPr>
          <w:rFonts w:asciiTheme="majorBidi" w:hAnsiTheme="majorBidi" w:cstheme="majorBidi"/>
          <w:i/>
          <w:lang w:val="en-US"/>
        </w:rPr>
        <w:t>B</w:t>
      </w:r>
      <w:r w:rsidR="00F90D30" w:rsidRPr="00677F79">
        <w:rPr>
          <w:rFonts w:asciiTheme="majorBidi" w:hAnsiTheme="majorBidi" w:cstheme="majorBidi"/>
          <w:i/>
          <w:lang w:val="en-US"/>
        </w:rPr>
        <w:t xml:space="preserve">est </w:t>
      </w:r>
      <w:r w:rsidR="000A262E" w:rsidRPr="00677F79">
        <w:rPr>
          <w:rFonts w:asciiTheme="majorBidi" w:hAnsiTheme="majorBidi" w:cstheme="majorBidi"/>
          <w:i/>
          <w:lang w:val="en-US"/>
        </w:rPr>
        <w:t>M</w:t>
      </w:r>
      <w:r w:rsidR="00F90D30" w:rsidRPr="00677F79">
        <w:rPr>
          <w:rFonts w:asciiTheme="majorBidi" w:hAnsiTheme="majorBidi" w:cstheme="majorBidi"/>
          <w:i/>
          <w:lang w:val="en-US"/>
        </w:rPr>
        <w:t xml:space="preserve">anagement </w:t>
      </w:r>
      <w:r w:rsidR="000A262E" w:rsidRPr="00677F79">
        <w:rPr>
          <w:rFonts w:asciiTheme="majorBidi" w:hAnsiTheme="majorBidi" w:cstheme="majorBidi"/>
          <w:i/>
          <w:lang w:val="en-US"/>
        </w:rPr>
        <w:t>P</w:t>
      </w:r>
      <w:r w:rsidR="00F90D30" w:rsidRPr="00677F79">
        <w:rPr>
          <w:rFonts w:asciiTheme="majorBidi" w:hAnsiTheme="majorBidi" w:cstheme="majorBidi"/>
          <w:i/>
          <w:lang w:val="en-US"/>
        </w:rPr>
        <w:t xml:space="preserve">ractices for </w:t>
      </w:r>
      <w:r w:rsidR="000A262E" w:rsidRPr="00677F79">
        <w:rPr>
          <w:rFonts w:asciiTheme="majorBidi" w:hAnsiTheme="majorBidi" w:cstheme="majorBidi"/>
          <w:i/>
          <w:lang w:val="en-US"/>
        </w:rPr>
        <w:t>A</w:t>
      </w:r>
      <w:r w:rsidR="00F90D30" w:rsidRPr="00677F79">
        <w:rPr>
          <w:rFonts w:asciiTheme="majorBidi" w:hAnsiTheme="majorBidi" w:cstheme="majorBidi"/>
          <w:i/>
          <w:lang w:val="en-US"/>
        </w:rPr>
        <w:t xml:space="preserve">griculture </w:t>
      </w:r>
      <w:r w:rsidR="000A262E" w:rsidRPr="00677F79">
        <w:rPr>
          <w:rFonts w:asciiTheme="majorBidi" w:hAnsiTheme="majorBidi" w:cstheme="majorBidi"/>
          <w:i/>
          <w:lang w:val="en-US"/>
        </w:rPr>
        <w:t>R</w:t>
      </w:r>
      <w:r w:rsidR="00F90D30" w:rsidRPr="00677F79">
        <w:rPr>
          <w:rFonts w:asciiTheme="majorBidi" w:hAnsiTheme="majorBidi" w:cstheme="majorBidi"/>
          <w:i/>
          <w:lang w:val="en-US"/>
        </w:rPr>
        <w:t xml:space="preserve">esidue </w:t>
      </w:r>
      <w:r w:rsidR="000A262E" w:rsidRPr="00677F79">
        <w:rPr>
          <w:rFonts w:asciiTheme="majorBidi" w:hAnsiTheme="majorBidi" w:cstheme="majorBidi"/>
          <w:i/>
          <w:lang w:val="en-US"/>
        </w:rPr>
        <w:t>U</w:t>
      </w:r>
      <w:r w:rsidR="00F90D30" w:rsidRPr="00677F79">
        <w:rPr>
          <w:rFonts w:asciiTheme="majorBidi" w:hAnsiTheme="majorBidi" w:cstheme="majorBidi"/>
          <w:i/>
          <w:lang w:val="en-US"/>
        </w:rPr>
        <w:t xml:space="preserve">ses </w:t>
      </w:r>
      <w:r w:rsidR="000A262E" w:rsidRPr="00677F79">
        <w:rPr>
          <w:rFonts w:asciiTheme="majorBidi" w:hAnsiTheme="majorBidi" w:cstheme="majorBidi"/>
          <w:i/>
          <w:lang w:val="en-US"/>
        </w:rPr>
        <w:t>for</w:t>
      </w:r>
      <w:r w:rsidR="00F90D30" w:rsidRPr="00677F79">
        <w:rPr>
          <w:rFonts w:asciiTheme="majorBidi" w:hAnsiTheme="majorBidi" w:cstheme="majorBidi"/>
          <w:i/>
          <w:lang w:val="en-US"/>
        </w:rPr>
        <w:t xml:space="preserve"> </w:t>
      </w:r>
      <w:r w:rsidR="000A262E" w:rsidRPr="00677F79">
        <w:rPr>
          <w:rFonts w:asciiTheme="majorBidi" w:hAnsiTheme="majorBidi" w:cstheme="majorBidi"/>
          <w:i/>
          <w:lang w:val="en-US"/>
        </w:rPr>
        <w:t>B</w:t>
      </w:r>
      <w:r w:rsidR="00F90D30" w:rsidRPr="00677F79">
        <w:rPr>
          <w:rFonts w:asciiTheme="majorBidi" w:hAnsiTheme="majorBidi" w:cstheme="majorBidi"/>
          <w:i/>
          <w:lang w:val="en-US"/>
        </w:rPr>
        <w:t>ioenergy</w:t>
      </w:r>
      <w:r w:rsidR="00F90D30" w:rsidRPr="00677F79">
        <w:rPr>
          <w:rFonts w:asciiTheme="majorBidi" w:hAnsiTheme="majorBidi" w:cstheme="majorBidi"/>
          <w:lang w:val="en-US"/>
        </w:rPr>
        <w:t xml:space="preserve">. This report will complement the previous </w:t>
      </w:r>
      <w:r w:rsidR="001E45C9" w:rsidRPr="00677F79">
        <w:rPr>
          <w:rFonts w:asciiTheme="majorBidi" w:hAnsiTheme="majorBidi" w:cstheme="majorBidi"/>
          <w:lang w:val="en-US"/>
        </w:rPr>
        <w:t xml:space="preserve">Task 43 </w:t>
      </w:r>
      <w:r w:rsidR="00F90D30" w:rsidRPr="00677F79">
        <w:rPr>
          <w:rFonts w:asciiTheme="majorBidi" w:hAnsiTheme="majorBidi" w:cstheme="majorBidi"/>
          <w:lang w:val="en-US"/>
        </w:rPr>
        <w:t xml:space="preserve">report on </w:t>
      </w:r>
      <w:r w:rsidR="001E45C9" w:rsidRPr="00677F79">
        <w:rPr>
          <w:rFonts w:asciiTheme="majorBidi" w:hAnsiTheme="majorBidi" w:cstheme="majorBidi"/>
          <w:i/>
          <w:lang w:val="en-US"/>
        </w:rPr>
        <w:t>Best Practice Guidelines for Managing Water for Bioenergy Feedstock Production.</w:t>
      </w:r>
    </w:p>
    <w:p w14:paraId="3855AB41" w14:textId="0605F0D0" w:rsidR="00BA7845" w:rsidRPr="00677F79" w:rsidRDefault="00BA7845" w:rsidP="00677F79">
      <w:pPr>
        <w:jc w:val="both"/>
        <w:rPr>
          <w:rFonts w:asciiTheme="majorBidi" w:hAnsiTheme="majorBidi" w:cstheme="majorBidi"/>
          <w:lang w:val="en-US"/>
        </w:rPr>
      </w:pPr>
      <w:r w:rsidRPr="00677F79">
        <w:rPr>
          <w:rFonts w:asciiTheme="majorBidi" w:hAnsiTheme="majorBidi" w:cstheme="majorBidi"/>
          <w:lang w:val="en-US"/>
        </w:rPr>
        <w:t xml:space="preserve">Task 43 also plans to </w:t>
      </w:r>
      <w:r w:rsidR="00A85BA7" w:rsidRPr="00677F79">
        <w:rPr>
          <w:rFonts w:asciiTheme="majorBidi" w:hAnsiTheme="majorBidi" w:cstheme="majorBidi"/>
          <w:lang w:val="en-US"/>
        </w:rPr>
        <w:t xml:space="preserve">circulate a </w:t>
      </w:r>
      <w:r w:rsidR="00B604C6" w:rsidRPr="00677F79">
        <w:rPr>
          <w:rFonts w:asciiTheme="majorBidi" w:hAnsiTheme="majorBidi" w:cstheme="majorBidi"/>
          <w:lang w:val="en-US"/>
        </w:rPr>
        <w:t>c</w:t>
      </w:r>
      <w:r w:rsidR="00A85BA7" w:rsidRPr="00677F79">
        <w:rPr>
          <w:rFonts w:asciiTheme="majorBidi" w:hAnsiTheme="majorBidi" w:cstheme="majorBidi"/>
          <w:lang w:val="en-US"/>
        </w:rPr>
        <w:t xml:space="preserve">all for contributions on </w:t>
      </w:r>
      <w:r w:rsidR="00A85BA7" w:rsidRPr="00677F79">
        <w:rPr>
          <w:rFonts w:asciiTheme="majorBidi" w:hAnsiTheme="majorBidi" w:cstheme="majorBidi"/>
          <w:i/>
          <w:lang w:val="en-US"/>
        </w:rPr>
        <w:t>Attractive Systems for Bioenergy Feedstock Production in Sustainably Managed Landscapes</w:t>
      </w:r>
      <w:r w:rsidR="00B604C6" w:rsidRPr="00677F79">
        <w:rPr>
          <w:rFonts w:asciiTheme="majorBidi" w:hAnsiTheme="majorBidi" w:cstheme="majorBidi"/>
          <w:lang w:val="en-US"/>
        </w:rPr>
        <w:t xml:space="preserve">. A similar format </w:t>
      </w:r>
      <w:proofErr w:type="gramStart"/>
      <w:r w:rsidR="00B604C6" w:rsidRPr="00677F79">
        <w:rPr>
          <w:rFonts w:asciiTheme="majorBidi" w:hAnsiTheme="majorBidi" w:cstheme="majorBidi"/>
          <w:lang w:val="en-US"/>
        </w:rPr>
        <w:t>will be used</w:t>
      </w:r>
      <w:proofErr w:type="gramEnd"/>
      <w:r w:rsidR="00B604C6" w:rsidRPr="00677F79">
        <w:rPr>
          <w:rFonts w:asciiTheme="majorBidi" w:hAnsiTheme="majorBidi" w:cstheme="majorBidi"/>
          <w:lang w:val="en-US"/>
        </w:rPr>
        <w:t xml:space="preserve"> as </w:t>
      </w:r>
      <w:r w:rsidR="00C91AEA" w:rsidRPr="00677F79">
        <w:rPr>
          <w:rFonts w:asciiTheme="majorBidi" w:hAnsiTheme="majorBidi" w:cstheme="majorBidi"/>
          <w:lang w:val="en-US"/>
        </w:rPr>
        <w:t xml:space="preserve">used </w:t>
      </w:r>
      <w:r w:rsidR="00B604C6" w:rsidRPr="00677F79">
        <w:rPr>
          <w:rFonts w:asciiTheme="majorBidi" w:hAnsiTheme="majorBidi" w:cstheme="majorBidi"/>
          <w:lang w:val="en-US"/>
        </w:rPr>
        <w:t>by AG6 in 2015</w:t>
      </w:r>
      <w:r w:rsidR="00C91AEA" w:rsidRPr="00677F79">
        <w:rPr>
          <w:rFonts w:asciiTheme="majorBidi" w:hAnsiTheme="majorBidi" w:cstheme="majorBidi"/>
          <w:lang w:val="en-US"/>
        </w:rPr>
        <w:t xml:space="preserve"> and it is expected that several contributions will concern bioenergy-water linkages. Exact time plan and dissemination activities </w:t>
      </w:r>
      <w:r w:rsidR="00534F7D" w:rsidRPr="00677F79">
        <w:rPr>
          <w:rFonts w:asciiTheme="majorBidi" w:hAnsiTheme="majorBidi" w:cstheme="majorBidi"/>
          <w:lang w:val="en-US"/>
        </w:rPr>
        <w:t xml:space="preserve">associated with the Task 43 call </w:t>
      </w:r>
      <w:r w:rsidR="00C91AEA" w:rsidRPr="00677F79">
        <w:rPr>
          <w:rFonts w:asciiTheme="majorBidi" w:hAnsiTheme="majorBidi" w:cstheme="majorBidi"/>
          <w:lang w:val="en-US"/>
        </w:rPr>
        <w:t xml:space="preserve">are yet to </w:t>
      </w:r>
      <w:proofErr w:type="gramStart"/>
      <w:r w:rsidR="00C91AEA" w:rsidRPr="00677F79">
        <w:rPr>
          <w:rFonts w:asciiTheme="majorBidi" w:hAnsiTheme="majorBidi" w:cstheme="majorBidi"/>
          <w:lang w:val="en-US"/>
        </w:rPr>
        <w:t>be specified</w:t>
      </w:r>
      <w:proofErr w:type="gramEnd"/>
      <w:r w:rsidR="00C91AEA" w:rsidRPr="00677F79">
        <w:rPr>
          <w:rFonts w:asciiTheme="majorBidi" w:hAnsiTheme="majorBidi" w:cstheme="majorBidi"/>
          <w:lang w:val="en-US"/>
        </w:rPr>
        <w:t xml:space="preserve">, but the aim will be to develop synergies with AG6 work in 2017. </w:t>
      </w:r>
    </w:p>
    <w:p w14:paraId="19ED756F" w14:textId="1828F9BB" w:rsidR="001B3604" w:rsidRPr="00677F79" w:rsidRDefault="001B3604" w:rsidP="00677F79">
      <w:pPr>
        <w:jc w:val="both"/>
        <w:rPr>
          <w:rFonts w:asciiTheme="majorBidi" w:hAnsiTheme="majorBidi" w:cstheme="majorBidi"/>
          <w:lang w:val="en-US"/>
        </w:rPr>
      </w:pPr>
      <w:r w:rsidRPr="00677F79">
        <w:rPr>
          <w:rFonts w:asciiTheme="majorBidi" w:hAnsiTheme="majorBidi" w:cstheme="majorBidi"/>
          <w:lang w:val="en-US"/>
        </w:rPr>
        <w:t xml:space="preserve">Finally, if AG6 gets approval for arranging an event during the 2017 World Water Week, this event </w:t>
      </w:r>
      <w:proofErr w:type="gramStart"/>
      <w:r w:rsidRPr="00677F79">
        <w:rPr>
          <w:rFonts w:asciiTheme="majorBidi" w:hAnsiTheme="majorBidi" w:cstheme="majorBidi"/>
          <w:lang w:val="en-US"/>
        </w:rPr>
        <w:t>can be expected</w:t>
      </w:r>
      <w:proofErr w:type="gramEnd"/>
      <w:r w:rsidRPr="00677F79">
        <w:rPr>
          <w:rFonts w:asciiTheme="majorBidi" w:hAnsiTheme="majorBidi" w:cstheme="majorBidi"/>
          <w:lang w:val="en-US"/>
        </w:rPr>
        <w:t xml:space="preserve"> to support the production of the memo.</w:t>
      </w:r>
    </w:p>
    <w:p w14:paraId="39AA9971" w14:textId="708A72AC" w:rsidR="00E42289" w:rsidRPr="00677F79" w:rsidRDefault="00E42289" w:rsidP="00677F79">
      <w:pPr>
        <w:jc w:val="both"/>
        <w:rPr>
          <w:rFonts w:asciiTheme="majorBidi" w:hAnsiTheme="majorBidi" w:cstheme="majorBidi"/>
          <w:lang w:val="en-US"/>
        </w:rPr>
      </w:pPr>
      <w:r w:rsidRPr="00677F79">
        <w:rPr>
          <w:rFonts w:asciiTheme="majorBidi" w:hAnsiTheme="majorBidi" w:cstheme="majorBidi"/>
          <w:lang w:val="en-US"/>
        </w:rPr>
        <w:t xml:space="preserve">This activity </w:t>
      </w:r>
      <w:r w:rsidRPr="00677F79">
        <w:rPr>
          <w:rFonts w:asciiTheme="majorBidi" w:hAnsiTheme="majorBidi" w:cstheme="majorBidi"/>
          <w:b/>
          <w:lang w:val="en-US"/>
        </w:rPr>
        <w:t>will be initiated if funding can be secured t</w:t>
      </w:r>
      <w:r w:rsidR="005E7786" w:rsidRPr="00677F79">
        <w:rPr>
          <w:rFonts w:asciiTheme="majorBidi" w:hAnsiTheme="majorBidi" w:cstheme="majorBidi"/>
          <w:b/>
          <w:lang w:val="en-US"/>
        </w:rPr>
        <w:t>hat makes it possible to</w:t>
      </w:r>
      <w:r w:rsidRPr="00677F79">
        <w:rPr>
          <w:rFonts w:asciiTheme="majorBidi" w:hAnsiTheme="majorBidi" w:cstheme="majorBidi"/>
          <w:b/>
          <w:lang w:val="en-US"/>
        </w:rPr>
        <w:t xml:space="preserve"> appoint </w:t>
      </w:r>
      <w:r w:rsidR="005E7786" w:rsidRPr="00677F79">
        <w:rPr>
          <w:rFonts w:asciiTheme="majorBidi" w:hAnsiTheme="majorBidi" w:cstheme="majorBidi"/>
          <w:b/>
          <w:lang w:val="en-US"/>
        </w:rPr>
        <w:t>a</w:t>
      </w:r>
      <w:r w:rsidRPr="00677F79">
        <w:rPr>
          <w:rFonts w:asciiTheme="majorBidi" w:hAnsiTheme="majorBidi" w:cstheme="majorBidi"/>
          <w:b/>
          <w:lang w:val="en-US"/>
        </w:rPr>
        <w:t xml:space="preserve"> lead author</w:t>
      </w:r>
      <w:r w:rsidRPr="00677F79">
        <w:rPr>
          <w:rFonts w:asciiTheme="majorBidi" w:hAnsiTheme="majorBidi" w:cstheme="majorBidi"/>
          <w:lang w:val="en-US"/>
        </w:rPr>
        <w:t xml:space="preserve"> of the memo.</w:t>
      </w:r>
      <w:r w:rsidR="00A47446">
        <w:rPr>
          <w:rFonts w:asciiTheme="majorBidi" w:hAnsiTheme="majorBidi" w:cstheme="majorBidi"/>
          <w:lang w:val="en-US"/>
        </w:rPr>
        <w:t xml:space="preserve"> T</w:t>
      </w:r>
      <w:r w:rsidR="00A47446" w:rsidRPr="00A47446">
        <w:rPr>
          <w:rFonts w:asciiTheme="majorBidi" w:hAnsiTheme="majorBidi" w:cstheme="majorBidi"/>
          <w:lang w:val="en-US"/>
        </w:rPr>
        <w:t>h</w:t>
      </w:r>
      <w:r w:rsidR="00A47446">
        <w:rPr>
          <w:rFonts w:asciiTheme="majorBidi" w:hAnsiTheme="majorBidi" w:cstheme="majorBidi"/>
          <w:lang w:val="en-US"/>
        </w:rPr>
        <w:t xml:space="preserve">e memo </w:t>
      </w:r>
      <w:r w:rsidR="00A47446" w:rsidRPr="00A47446">
        <w:rPr>
          <w:rFonts w:asciiTheme="majorBidi" w:hAnsiTheme="majorBidi" w:cstheme="majorBidi"/>
          <w:lang w:val="en-US"/>
        </w:rPr>
        <w:t xml:space="preserve">is expected to be developed within a </w:t>
      </w:r>
      <w:proofErr w:type="gramStart"/>
      <w:r w:rsidR="00A47446" w:rsidRPr="00A47446">
        <w:rPr>
          <w:rFonts w:asciiTheme="majorBidi" w:hAnsiTheme="majorBidi" w:cstheme="majorBidi"/>
          <w:lang w:val="en-US"/>
        </w:rPr>
        <w:t>6 month</w:t>
      </w:r>
      <w:proofErr w:type="gramEnd"/>
      <w:r w:rsidR="00A47446" w:rsidRPr="00A47446">
        <w:rPr>
          <w:rFonts w:asciiTheme="majorBidi" w:hAnsiTheme="majorBidi" w:cstheme="majorBidi"/>
          <w:lang w:val="en-US"/>
        </w:rPr>
        <w:t xml:space="preserve"> period</w:t>
      </w:r>
      <w:r w:rsidR="00A47446">
        <w:rPr>
          <w:rFonts w:asciiTheme="majorBidi" w:hAnsiTheme="majorBidi" w:cstheme="majorBidi"/>
          <w:lang w:val="en-US"/>
        </w:rPr>
        <w:t>.</w:t>
      </w:r>
    </w:p>
    <w:p w14:paraId="724A642F" w14:textId="397764C7" w:rsidR="00313B5D" w:rsidRPr="00677F79" w:rsidRDefault="00313B5D" w:rsidP="00677F79">
      <w:pPr>
        <w:pStyle w:val="Heading1"/>
        <w:numPr>
          <w:ilvl w:val="0"/>
          <w:numId w:val="29"/>
        </w:numPr>
        <w:jc w:val="both"/>
        <w:rPr>
          <w:rFonts w:asciiTheme="majorBidi" w:hAnsiTheme="majorBidi"/>
          <w:i/>
          <w:iCs/>
          <w:lang w:val="en-US"/>
        </w:rPr>
      </w:pPr>
      <w:r w:rsidRPr="00677F79">
        <w:rPr>
          <w:rFonts w:asciiTheme="majorBidi" w:hAnsiTheme="majorBidi"/>
          <w:i/>
          <w:iCs/>
          <w:lang w:val="en-US"/>
        </w:rPr>
        <w:lastRenderedPageBreak/>
        <w:t xml:space="preserve">AG6 event during the 2017 World Water </w:t>
      </w:r>
      <w:bookmarkStart w:id="0" w:name="_GoBack"/>
      <w:bookmarkEnd w:id="0"/>
      <w:r w:rsidRPr="00677F79">
        <w:rPr>
          <w:rFonts w:asciiTheme="majorBidi" w:hAnsiTheme="majorBidi"/>
          <w:i/>
          <w:iCs/>
          <w:lang w:val="en-US"/>
        </w:rPr>
        <w:t>Week</w:t>
      </w:r>
      <w:r w:rsidR="00911A54">
        <w:rPr>
          <w:rFonts w:asciiTheme="majorBidi" w:hAnsiTheme="majorBidi"/>
          <w:i/>
          <w:iCs/>
          <w:lang w:val="en-US"/>
        </w:rPr>
        <w:t xml:space="preserve"> (Stockholm, 27 August – 1 September 2017)</w:t>
      </w:r>
    </w:p>
    <w:p w14:paraId="383DB841" w14:textId="77777777" w:rsidR="00B7494C" w:rsidRDefault="00D117F7" w:rsidP="00677F79">
      <w:pPr>
        <w:jc w:val="both"/>
        <w:rPr>
          <w:rFonts w:asciiTheme="majorBidi" w:hAnsiTheme="majorBidi" w:cstheme="majorBidi"/>
          <w:lang w:val="en-US"/>
        </w:rPr>
      </w:pPr>
      <w:r w:rsidRPr="00677F79">
        <w:rPr>
          <w:rFonts w:asciiTheme="majorBidi" w:hAnsiTheme="majorBidi" w:cstheme="majorBidi"/>
          <w:lang w:val="en-US"/>
        </w:rPr>
        <w:t xml:space="preserve">A proposal for an event during the 2017 World Water Week </w:t>
      </w:r>
      <w:proofErr w:type="gramStart"/>
      <w:r w:rsidR="00F34C99" w:rsidRPr="00677F79">
        <w:rPr>
          <w:rFonts w:asciiTheme="majorBidi" w:hAnsiTheme="majorBidi" w:cstheme="majorBidi"/>
          <w:lang w:val="en-US"/>
        </w:rPr>
        <w:t>was</w:t>
      </w:r>
      <w:r w:rsidRPr="00677F79">
        <w:rPr>
          <w:rFonts w:asciiTheme="majorBidi" w:hAnsiTheme="majorBidi" w:cstheme="majorBidi"/>
          <w:lang w:val="en-US"/>
        </w:rPr>
        <w:t xml:space="preserve"> submitted</w:t>
      </w:r>
      <w:proofErr w:type="gramEnd"/>
      <w:r w:rsidRPr="00677F79">
        <w:rPr>
          <w:rFonts w:asciiTheme="majorBidi" w:hAnsiTheme="majorBidi" w:cstheme="majorBidi"/>
          <w:lang w:val="en-US"/>
        </w:rPr>
        <w:t xml:space="preserve"> </w:t>
      </w:r>
      <w:r w:rsidR="00F34C99" w:rsidRPr="00677F79">
        <w:rPr>
          <w:rFonts w:asciiTheme="majorBidi" w:hAnsiTheme="majorBidi" w:cstheme="majorBidi"/>
          <w:lang w:val="en-US"/>
        </w:rPr>
        <w:t xml:space="preserve">on January 18 </w:t>
      </w:r>
      <w:r w:rsidR="00080B0D" w:rsidRPr="00677F79">
        <w:rPr>
          <w:rFonts w:asciiTheme="majorBidi" w:hAnsiTheme="majorBidi" w:cstheme="majorBidi"/>
          <w:lang w:val="en-US"/>
        </w:rPr>
        <w:t>(see Appendix</w:t>
      </w:r>
      <w:r w:rsidRPr="00677F79">
        <w:rPr>
          <w:rFonts w:asciiTheme="majorBidi" w:hAnsiTheme="majorBidi" w:cstheme="majorBidi"/>
          <w:lang w:val="en-US"/>
        </w:rPr>
        <w:t>)</w:t>
      </w:r>
      <w:r w:rsidR="00F34C99" w:rsidRPr="00677F79">
        <w:rPr>
          <w:rFonts w:asciiTheme="majorBidi" w:hAnsiTheme="majorBidi" w:cstheme="majorBidi"/>
          <w:lang w:val="en-US"/>
        </w:rPr>
        <w:t xml:space="preserve">. The proposal </w:t>
      </w:r>
      <w:proofErr w:type="gramStart"/>
      <w:r w:rsidR="00F34C99" w:rsidRPr="00677F79">
        <w:rPr>
          <w:rFonts w:asciiTheme="majorBidi" w:hAnsiTheme="majorBidi" w:cstheme="majorBidi"/>
          <w:lang w:val="en-US"/>
        </w:rPr>
        <w:t>was submitted</w:t>
      </w:r>
      <w:proofErr w:type="gramEnd"/>
      <w:r w:rsidR="00F34C99" w:rsidRPr="00677F79">
        <w:rPr>
          <w:rFonts w:asciiTheme="majorBidi" w:hAnsiTheme="majorBidi" w:cstheme="majorBidi"/>
          <w:lang w:val="en-US"/>
        </w:rPr>
        <w:t xml:space="preserve"> prior to approval of the 2017 Scope of Work, since the deadline for proposals was January 22.</w:t>
      </w:r>
      <w:r w:rsidR="00080B0D" w:rsidRPr="00677F79">
        <w:rPr>
          <w:rFonts w:asciiTheme="majorBidi" w:hAnsiTheme="majorBidi" w:cstheme="majorBidi"/>
          <w:lang w:val="en-US"/>
        </w:rPr>
        <w:t xml:space="preserve"> </w:t>
      </w:r>
    </w:p>
    <w:p w14:paraId="46134C50" w14:textId="2B564B43" w:rsidR="00F208A2" w:rsidRDefault="00F34C99" w:rsidP="00677F79">
      <w:pPr>
        <w:jc w:val="both"/>
        <w:rPr>
          <w:rFonts w:asciiTheme="majorBidi" w:hAnsiTheme="majorBidi" w:cstheme="majorBidi"/>
          <w:bCs/>
          <w:lang w:val="en-US"/>
        </w:rPr>
      </w:pPr>
      <w:r w:rsidRPr="00677F79">
        <w:rPr>
          <w:rFonts w:asciiTheme="majorBidi" w:hAnsiTheme="majorBidi" w:cstheme="majorBidi"/>
          <w:lang w:val="en-US"/>
        </w:rPr>
        <w:t xml:space="preserve">Arranging events during the 2017 World Water Week is associated with a cost in the </w:t>
      </w:r>
      <w:r w:rsidR="00080B0D" w:rsidRPr="00677F79">
        <w:rPr>
          <w:rFonts w:asciiTheme="majorBidi" w:hAnsiTheme="majorBidi" w:cstheme="majorBidi"/>
          <w:lang w:val="en-US"/>
        </w:rPr>
        <w:t xml:space="preserve">range </w:t>
      </w:r>
      <w:r w:rsidR="00B7494C">
        <w:rPr>
          <w:rFonts w:asciiTheme="majorBidi" w:hAnsiTheme="majorBidi" w:cstheme="majorBidi"/>
          <w:lang w:val="en-US"/>
        </w:rPr>
        <w:t xml:space="preserve">EUR </w:t>
      </w:r>
      <w:r w:rsidR="00080B0D" w:rsidRPr="00677F79">
        <w:rPr>
          <w:rFonts w:asciiTheme="majorBidi" w:hAnsiTheme="majorBidi" w:cstheme="majorBidi"/>
          <w:lang w:val="en-US"/>
        </w:rPr>
        <w:t>30,</w:t>
      </w:r>
      <w:r w:rsidRPr="00677F79">
        <w:rPr>
          <w:rFonts w:asciiTheme="majorBidi" w:hAnsiTheme="majorBidi" w:cstheme="majorBidi"/>
          <w:lang w:val="en-US"/>
        </w:rPr>
        <w:t xml:space="preserve">000 </w:t>
      </w:r>
      <w:r w:rsidR="00080B0D" w:rsidRPr="00677F79">
        <w:rPr>
          <w:rFonts w:asciiTheme="majorBidi" w:hAnsiTheme="majorBidi" w:cstheme="majorBidi"/>
          <w:lang w:val="en-US"/>
        </w:rPr>
        <w:t>–</w:t>
      </w:r>
      <w:r w:rsidRPr="00677F79">
        <w:rPr>
          <w:rFonts w:asciiTheme="majorBidi" w:hAnsiTheme="majorBidi" w:cstheme="majorBidi"/>
          <w:lang w:val="en-US"/>
        </w:rPr>
        <w:t xml:space="preserve"> 35</w:t>
      </w:r>
      <w:r w:rsidR="00080B0D" w:rsidRPr="00677F79">
        <w:rPr>
          <w:rFonts w:asciiTheme="majorBidi" w:hAnsiTheme="majorBidi" w:cstheme="majorBidi"/>
          <w:lang w:val="en-US"/>
        </w:rPr>
        <w:t>,</w:t>
      </w:r>
      <w:r w:rsidRPr="00677F79">
        <w:rPr>
          <w:rFonts w:asciiTheme="majorBidi" w:hAnsiTheme="majorBidi" w:cstheme="majorBidi"/>
          <w:lang w:val="en-US"/>
        </w:rPr>
        <w:t xml:space="preserve">000. In case </w:t>
      </w:r>
      <w:r w:rsidR="00080B0D" w:rsidRPr="00677F79">
        <w:rPr>
          <w:rFonts w:asciiTheme="majorBidi" w:hAnsiTheme="majorBidi" w:cstheme="majorBidi"/>
          <w:lang w:val="en-US"/>
        </w:rPr>
        <w:t xml:space="preserve">of </w:t>
      </w:r>
      <w:r w:rsidRPr="00677F79">
        <w:rPr>
          <w:rFonts w:asciiTheme="majorBidi" w:hAnsiTheme="majorBidi" w:cstheme="majorBidi"/>
          <w:lang w:val="en-US"/>
        </w:rPr>
        <w:t>approv</w:t>
      </w:r>
      <w:r w:rsidR="00080B0D" w:rsidRPr="00677F79">
        <w:rPr>
          <w:rFonts w:asciiTheme="majorBidi" w:hAnsiTheme="majorBidi" w:cstheme="majorBidi"/>
          <w:lang w:val="en-US"/>
        </w:rPr>
        <w:t>al</w:t>
      </w:r>
      <w:r w:rsidR="00D32304" w:rsidRPr="00677F79">
        <w:rPr>
          <w:rFonts w:asciiTheme="majorBidi" w:hAnsiTheme="majorBidi" w:cstheme="majorBidi"/>
          <w:lang w:val="en-US"/>
        </w:rPr>
        <w:t xml:space="preserve"> (</w:t>
      </w:r>
      <w:r w:rsidR="00D32304" w:rsidRPr="00677F79">
        <w:rPr>
          <w:rFonts w:asciiTheme="majorBidi" w:hAnsiTheme="majorBidi" w:cstheme="majorBidi"/>
          <w:bCs/>
          <w:lang w:val="en-US"/>
        </w:rPr>
        <w:t>expected in April 2017)</w:t>
      </w:r>
      <w:r w:rsidRPr="00677F79">
        <w:rPr>
          <w:rFonts w:asciiTheme="majorBidi" w:hAnsiTheme="majorBidi" w:cstheme="majorBidi"/>
          <w:lang w:val="en-US"/>
        </w:rPr>
        <w:t>, AG6 need</w:t>
      </w:r>
      <w:r w:rsidR="00D32304" w:rsidRPr="00677F79">
        <w:rPr>
          <w:rFonts w:asciiTheme="majorBidi" w:hAnsiTheme="majorBidi" w:cstheme="majorBidi"/>
          <w:lang w:val="en-US"/>
        </w:rPr>
        <w:t>s</w:t>
      </w:r>
      <w:r w:rsidRPr="00677F79">
        <w:rPr>
          <w:rFonts w:asciiTheme="majorBidi" w:hAnsiTheme="majorBidi" w:cstheme="majorBidi"/>
          <w:lang w:val="en-US"/>
        </w:rPr>
        <w:t xml:space="preserve"> to secure funding before finally agreeing to arrange the event. </w:t>
      </w:r>
      <w:r w:rsidR="0029617E" w:rsidRPr="00677F79">
        <w:rPr>
          <w:rFonts w:asciiTheme="majorBidi" w:hAnsiTheme="majorBidi" w:cstheme="majorBidi"/>
          <w:lang w:val="en-US"/>
        </w:rPr>
        <w:t xml:space="preserve">Additional funding </w:t>
      </w:r>
      <w:proofErr w:type="gramStart"/>
      <w:r w:rsidR="0029617E" w:rsidRPr="00677F79">
        <w:rPr>
          <w:rFonts w:asciiTheme="majorBidi" w:hAnsiTheme="majorBidi" w:cstheme="majorBidi"/>
          <w:lang w:val="en-US"/>
        </w:rPr>
        <w:t xml:space="preserve">may </w:t>
      </w:r>
      <w:r w:rsidR="00172926" w:rsidRPr="00677F79">
        <w:rPr>
          <w:rFonts w:asciiTheme="majorBidi" w:hAnsiTheme="majorBidi" w:cstheme="majorBidi"/>
          <w:lang w:val="en-US"/>
        </w:rPr>
        <w:t xml:space="preserve">be </w:t>
      </w:r>
      <w:r w:rsidR="0029617E" w:rsidRPr="00677F79">
        <w:rPr>
          <w:rFonts w:asciiTheme="majorBidi" w:hAnsiTheme="majorBidi" w:cstheme="majorBidi"/>
          <w:lang w:val="en-US"/>
        </w:rPr>
        <w:t>need</w:t>
      </w:r>
      <w:r w:rsidR="00172926" w:rsidRPr="00677F79">
        <w:rPr>
          <w:rFonts w:asciiTheme="majorBidi" w:hAnsiTheme="majorBidi" w:cstheme="majorBidi"/>
          <w:lang w:val="en-US"/>
        </w:rPr>
        <w:t>ed</w:t>
      </w:r>
      <w:proofErr w:type="gramEnd"/>
      <w:r w:rsidR="0029617E" w:rsidRPr="00677F79">
        <w:rPr>
          <w:rFonts w:asciiTheme="majorBidi" w:hAnsiTheme="majorBidi" w:cstheme="majorBidi"/>
          <w:lang w:val="en-US"/>
        </w:rPr>
        <w:t xml:space="preserve"> for travel costs </w:t>
      </w:r>
      <w:r w:rsidR="00D32304" w:rsidRPr="00677F79">
        <w:rPr>
          <w:rFonts w:asciiTheme="majorBidi" w:hAnsiTheme="majorBidi" w:cstheme="majorBidi"/>
          <w:lang w:val="en-US"/>
        </w:rPr>
        <w:t>(</w:t>
      </w:r>
      <w:r w:rsidR="0029617E" w:rsidRPr="00677F79">
        <w:rPr>
          <w:rFonts w:asciiTheme="majorBidi" w:hAnsiTheme="majorBidi" w:cstheme="majorBidi"/>
          <w:lang w:val="en-US"/>
        </w:rPr>
        <w:t xml:space="preserve">invited speakers </w:t>
      </w:r>
      <w:r w:rsidR="00D32304" w:rsidRPr="00677F79">
        <w:rPr>
          <w:rFonts w:asciiTheme="majorBidi" w:hAnsiTheme="majorBidi" w:cstheme="majorBidi"/>
          <w:lang w:val="en-US"/>
        </w:rPr>
        <w:t xml:space="preserve">unable to </w:t>
      </w:r>
      <w:r w:rsidR="0029617E" w:rsidRPr="00677F79">
        <w:rPr>
          <w:rFonts w:asciiTheme="majorBidi" w:hAnsiTheme="majorBidi" w:cstheme="majorBidi"/>
          <w:lang w:val="en-US"/>
        </w:rPr>
        <w:t>cover such costs</w:t>
      </w:r>
      <w:r w:rsidR="00D32304" w:rsidRPr="00677F79">
        <w:rPr>
          <w:rFonts w:asciiTheme="majorBidi" w:hAnsiTheme="majorBidi" w:cstheme="majorBidi"/>
          <w:lang w:val="en-US"/>
        </w:rPr>
        <w:t>)</w:t>
      </w:r>
      <w:r w:rsidR="0029617E" w:rsidRPr="00677F79">
        <w:rPr>
          <w:rFonts w:asciiTheme="majorBidi" w:hAnsiTheme="majorBidi" w:cstheme="majorBidi"/>
          <w:lang w:val="en-US"/>
        </w:rPr>
        <w:t>.</w:t>
      </w:r>
      <w:r w:rsidR="00080B0D" w:rsidRPr="00677F79">
        <w:rPr>
          <w:rFonts w:asciiTheme="majorBidi" w:hAnsiTheme="majorBidi" w:cstheme="majorBidi"/>
          <w:lang w:val="en-US"/>
        </w:rPr>
        <w:t xml:space="preserve"> </w:t>
      </w:r>
      <w:r w:rsidR="00D32304" w:rsidRPr="00677F79">
        <w:rPr>
          <w:rFonts w:asciiTheme="majorBidi" w:hAnsiTheme="majorBidi" w:cstheme="majorBidi"/>
          <w:lang w:val="en-US"/>
        </w:rPr>
        <w:t xml:space="preserve">A </w:t>
      </w:r>
      <w:r w:rsidRPr="00677F79">
        <w:rPr>
          <w:rFonts w:asciiTheme="majorBidi" w:hAnsiTheme="majorBidi" w:cstheme="majorBidi"/>
          <w:lang w:val="en-US"/>
        </w:rPr>
        <w:t xml:space="preserve">possibility is to invite other organizations as co-organizers </w:t>
      </w:r>
      <w:r w:rsidR="00080B0D" w:rsidRPr="00677F79">
        <w:rPr>
          <w:rFonts w:asciiTheme="majorBidi" w:hAnsiTheme="majorBidi" w:cstheme="majorBidi"/>
          <w:lang w:val="en-US"/>
        </w:rPr>
        <w:t xml:space="preserve">to </w:t>
      </w:r>
      <w:r w:rsidR="001143CD" w:rsidRPr="00677F79">
        <w:rPr>
          <w:rFonts w:asciiTheme="majorBidi" w:hAnsiTheme="majorBidi" w:cstheme="majorBidi"/>
          <w:lang w:val="en-US"/>
        </w:rPr>
        <w:t>share</w:t>
      </w:r>
      <w:r w:rsidRPr="00677F79">
        <w:rPr>
          <w:rFonts w:asciiTheme="majorBidi" w:hAnsiTheme="majorBidi" w:cstheme="majorBidi"/>
          <w:lang w:val="en-US"/>
        </w:rPr>
        <w:t xml:space="preserve"> the</w:t>
      </w:r>
      <w:r w:rsidR="00B7494C">
        <w:rPr>
          <w:rFonts w:asciiTheme="majorBidi" w:hAnsiTheme="majorBidi" w:cstheme="majorBidi"/>
          <w:lang w:val="en-US"/>
        </w:rPr>
        <w:t xml:space="preserve"> related</w:t>
      </w:r>
      <w:r w:rsidRPr="00677F79">
        <w:rPr>
          <w:rFonts w:asciiTheme="majorBidi" w:hAnsiTheme="majorBidi" w:cstheme="majorBidi"/>
          <w:lang w:val="en-US"/>
        </w:rPr>
        <w:t xml:space="preserve"> cost</w:t>
      </w:r>
      <w:r w:rsidR="00080B0D" w:rsidRPr="00677F79">
        <w:rPr>
          <w:rFonts w:asciiTheme="majorBidi" w:hAnsiTheme="majorBidi" w:cstheme="majorBidi"/>
          <w:bCs/>
          <w:lang w:val="en-US"/>
        </w:rPr>
        <w:t>.</w:t>
      </w:r>
      <w:r w:rsidR="00B7494C">
        <w:rPr>
          <w:rFonts w:asciiTheme="majorBidi" w:hAnsiTheme="majorBidi" w:cstheme="majorBidi"/>
          <w:bCs/>
          <w:lang w:val="en-US"/>
        </w:rPr>
        <w:t xml:space="preserve"> </w:t>
      </w:r>
    </w:p>
    <w:p w14:paraId="1259E818" w14:textId="503347C4" w:rsidR="00B7494C" w:rsidRDefault="00B7494C" w:rsidP="00677F79">
      <w:pPr>
        <w:jc w:val="both"/>
        <w:rPr>
          <w:rFonts w:asciiTheme="majorBidi" w:hAnsiTheme="majorBidi" w:cstheme="majorBidi"/>
          <w:bCs/>
          <w:lang w:val="en-US"/>
        </w:rPr>
      </w:pPr>
      <w:r w:rsidRPr="008C5EBF">
        <w:rPr>
          <w:rFonts w:asciiTheme="majorBidi" w:hAnsiTheme="majorBidi" w:cstheme="majorBidi"/>
          <w:b/>
          <w:lang w:val="en-US"/>
        </w:rPr>
        <w:t>The AG6 leader will continue exploring funding opportunities to secure the organization of this activity</w:t>
      </w:r>
      <w:r>
        <w:rPr>
          <w:rFonts w:asciiTheme="majorBidi" w:hAnsiTheme="majorBidi" w:cstheme="majorBidi"/>
          <w:bCs/>
          <w:lang w:val="en-US"/>
        </w:rPr>
        <w:t>.</w:t>
      </w:r>
    </w:p>
    <w:p w14:paraId="1C6C8BE2" w14:textId="77777777" w:rsidR="00F208A2" w:rsidRDefault="00F208A2" w:rsidP="00677F79">
      <w:pPr>
        <w:jc w:val="both"/>
        <w:rPr>
          <w:rFonts w:asciiTheme="majorBidi" w:hAnsiTheme="majorBidi" w:cstheme="majorBidi"/>
          <w:bCs/>
          <w:lang w:val="en-US"/>
        </w:rPr>
      </w:pPr>
    </w:p>
    <w:p w14:paraId="70AA0850" w14:textId="0B3F27A9" w:rsidR="00D117F7" w:rsidRPr="00677F79" w:rsidRDefault="00D117F7" w:rsidP="00677F79">
      <w:pPr>
        <w:jc w:val="both"/>
        <w:rPr>
          <w:rFonts w:asciiTheme="majorBidi" w:hAnsiTheme="majorBidi" w:cstheme="majorBidi"/>
          <w:lang w:val="en-US"/>
        </w:rPr>
      </w:pPr>
      <w:r w:rsidRPr="00677F79">
        <w:rPr>
          <w:rFonts w:asciiTheme="majorBidi" w:hAnsiTheme="majorBidi" w:cstheme="majorBidi"/>
          <w:lang w:val="en-US"/>
        </w:rPr>
        <w:br w:type="page"/>
      </w:r>
    </w:p>
    <w:p w14:paraId="4190B391" w14:textId="52FE7642" w:rsidR="00D117F7" w:rsidRPr="00677F79" w:rsidRDefault="00EC52DC" w:rsidP="00677F79">
      <w:pPr>
        <w:pStyle w:val="Heading1"/>
        <w:jc w:val="center"/>
        <w:rPr>
          <w:rFonts w:asciiTheme="majorBidi" w:hAnsiTheme="majorBidi"/>
          <w:lang w:val="en-US"/>
        </w:rPr>
      </w:pPr>
      <w:r w:rsidRPr="00677F79">
        <w:rPr>
          <w:rFonts w:asciiTheme="majorBidi" w:hAnsiTheme="majorBidi"/>
          <w:lang w:val="en-US"/>
        </w:rPr>
        <w:lastRenderedPageBreak/>
        <w:t>Appendix</w:t>
      </w:r>
      <w:r w:rsidR="00D117F7" w:rsidRPr="00677F79">
        <w:rPr>
          <w:rFonts w:asciiTheme="majorBidi" w:hAnsiTheme="majorBidi"/>
          <w:lang w:val="en-US"/>
        </w:rPr>
        <w:t>: Proposal for an event during the 2017 World Water Week</w:t>
      </w:r>
    </w:p>
    <w:p w14:paraId="1E4AAFB8" w14:textId="77777777" w:rsidR="00D117F7" w:rsidRPr="00677F79" w:rsidRDefault="00D117F7" w:rsidP="00677F79">
      <w:pPr>
        <w:jc w:val="both"/>
        <w:rPr>
          <w:rFonts w:asciiTheme="majorBidi" w:hAnsiTheme="majorBidi" w:cstheme="majorBidi"/>
          <w:lang w:val="en-US"/>
        </w:rPr>
      </w:pPr>
    </w:p>
    <w:p w14:paraId="1F7D9375" w14:textId="09EE311F" w:rsidR="00D117F7" w:rsidRPr="00677F79" w:rsidRDefault="00D117F7" w:rsidP="00677F79">
      <w:pPr>
        <w:jc w:val="both"/>
        <w:rPr>
          <w:rFonts w:asciiTheme="majorBidi" w:hAnsiTheme="majorBidi" w:cstheme="majorBidi"/>
          <w:lang w:val="en-US"/>
        </w:rPr>
      </w:pPr>
      <w:r w:rsidRPr="00677F79">
        <w:rPr>
          <w:rFonts w:asciiTheme="majorBidi" w:hAnsiTheme="majorBidi" w:cstheme="majorBidi"/>
          <w:b/>
          <w:lang w:val="en-US"/>
        </w:rPr>
        <w:t>Event title</w:t>
      </w:r>
      <w:r w:rsidR="00EC52DC" w:rsidRPr="00677F79">
        <w:rPr>
          <w:rFonts w:asciiTheme="majorBidi" w:hAnsiTheme="majorBidi" w:cstheme="majorBidi"/>
          <w:b/>
          <w:lang w:val="en-US"/>
        </w:rPr>
        <w:t xml:space="preserve">: </w:t>
      </w:r>
      <w:r w:rsidRPr="00677F79">
        <w:rPr>
          <w:rFonts w:asciiTheme="majorBidi" w:hAnsiTheme="majorBidi" w:cstheme="majorBidi"/>
          <w:lang w:val="en-US"/>
        </w:rPr>
        <w:t>Bioenergy, water and SDG implementation: experiences and linkages</w:t>
      </w:r>
    </w:p>
    <w:p w14:paraId="2F8EAD19" w14:textId="77777777" w:rsidR="00D117F7" w:rsidRPr="00677F79" w:rsidRDefault="00D117F7" w:rsidP="00677F79">
      <w:pPr>
        <w:jc w:val="both"/>
        <w:rPr>
          <w:rFonts w:asciiTheme="majorBidi" w:hAnsiTheme="majorBidi" w:cstheme="majorBidi"/>
          <w:lang w:val="en-US"/>
        </w:rPr>
      </w:pPr>
    </w:p>
    <w:p w14:paraId="228CAA31" w14:textId="2892247E" w:rsidR="00D117F7" w:rsidRPr="00677F79" w:rsidRDefault="00F208A2" w:rsidP="00677F79">
      <w:pPr>
        <w:jc w:val="both"/>
        <w:rPr>
          <w:rFonts w:asciiTheme="majorBidi" w:hAnsiTheme="majorBidi" w:cstheme="majorBidi"/>
          <w:b/>
          <w:lang w:val="en-US"/>
        </w:rPr>
      </w:pPr>
      <w:r w:rsidRPr="00B7494C">
        <w:rPr>
          <w:rFonts w:asciiTheme="majorBidi" w:hAnsiTheme="majorBidi" w:cstheme="majorBidi"/>
          <w:b/>
          <w:lang w:val="en-US"/>
        </w:rPr>
        <w:t>Conveners</w:t>
      </w:r>
      <w:r w:rsidR="00D117F7" w:rsidRPr="00677F79">
        <w:rPr>
          <w:rFonts w:asciiTheme="majorBidi" w:hAnsiTheme="majorBidi" w:cstheme="majorBidi"/>
          <w:b/>
          <w:lang w:val="en-US"/>
        </w:rPr>
        <w:t xml:space="preserve"> of the event</w:t>
      </w:r>
      <w:r w:rsidR="00EC52DC" w:rsidRPr="00677F79">
        <w:rPr>
          <w:rFonts w:asciiTheme="majorBidi" w:hAnsiTheme="majorBidi" w:cstheme="majorBidi"/>
          <w:b/>
          <w:lang w:val="en-US"/>
        </w:rPr>
        <w:t xml:space="preserve">: </w:t>
      </w:r>
      <w:r w:rsidR="00D117F7" w:rsidRPr="00677F79">
        <w:rPr>
          <w:rFonts w:asciiTheme="majorBidi" w:hAnsiTheme="majorBidi" w:cstheme="majorBidi"/>
          <w:lang w:val="en-US"/>
        </w:rPr>
        <w:t>GBEP Activity Group 6 "Bioenergy and Water" (AG6)</w:t>
      </w:r>
    </w:p>
    <w:p w14:paraId="0969CDE1" w14:textId="77777777" w:rsidR="00D117F7" w:rsidRPr="00677F79" w:rsidRDefault="00D117F7" w:rsidP="00677F79">
      <w:pPr>
        <w:jc w:val="both"/>
        <w:rPr>
          <w:rFonts w:asciiTheme="majorBidi" w:hAnsiTheme="majorBidi" w:cstheme="majorBidi"/>
          <w:b/>
          <w:lang w:val="en-US"/>
        </w:rPr>
      </w:pPr>
    </w:p>
    <w:p w14:paraId="3B0BED6E" w14:textId="77777777" w:rsidR="00D117F7" w:rsidRPr="00677F79" w:rsidRDefault="00D117F7" w:rsidP="00677F79">
      <w:pPr>
        <w:jc w:val="both"/>
        <w:rPr>
          <w:rFonts w:asciiTheme="majorBidi" w:hAnsiTheme="majorBidi" w:cstheme="majorBidi"/>
          <w:b/>
          <w:lang w:val="en-US"/>
        </w:rPr>
      </w:pPr>
      <w:r w:rsidRPr="00677F79">
        <w:rPr>
          <w:rFonts w:asciiTheme="majorBidi" w:hAnsiTheme="majorBidi" w:cstheme="majorBidi"/>
          <w:b/>
          <w:lang w:val="en-US"/>
        </w:rPr>
        <w:t>Event summary</w:t>
      </w:r>
    </w:p>
    <w:p w14:paraId="53A073BF" w14:textId="77777777" w:rsidR="00D117F7" w:rsidRPr="00677F79" w:rsidRDefault="00D117F7" w:rsidP="00677F79">
      <w:pPr>
        <w:jc w:val="both"/>
        <w:rPr>
          <w:rFonts w:asciiTheme="majorBidi" w:hAnsiTheme="majorBidi" w:cstheme="majorBidi"/>
          <w:b/>
          <w:lang w:val="en-US"/>
        </w:rPr>
      </w:pPr>
      <w:r w:rsidRPr="00677F79">
        <w:rPr>
          <w:rFonts w:asciiTheme="majorBidi" w:hAnsiTheme="majorBidi" w:cstheme="majorBidi"/>
          <w:lang w:val="en-US"/>
        </w:rPr>
        <w:t xml:space="preserve">The event addresses positive bioenergy and water linkages. Concrete examples </w:t>
      </w:r>
      <w:proofErr w:type="gramStart"/>
      <w:r w:rsidRPr="00677F79">
        <w:rPr>
          <w:rFonts w:asciiTheme="majorBidi" w:hAnsiTheme="majorBidi" w:cstheme="majorBidi"/>
          <w:lang w:val="en-US"/>
        </w:rPr>
        <w:t>will be presented and discussed</w:t>
      </w:r>
      <w:proofErr w:type="gramEnd"/>
      <w:r w:rsidRPr="00677F79">
        <w:rPr>
          <w:rFonts w:asciiTheme="majorBidi" w:hAnsiTheme="majorBidi" w:cstheme="majorBidi"/>
          <w:lang w:val="en-US"/>
        </w:rPr>
        <w:t xml:space="preserve"> and experiences will be shared from activities </w:t>
      </w:r>
      <w:proofErr w:type="spellStart"/>
      <w:r w:rsidRPr="00677F79">
        <w:rPr>
          <w:rFonts w:asciiTheme="majorBidi" w:hAnsiTheme="majorBidi" w:cstheme="majorBidi"/>
          <w:lang w:val="en-US"/>
        </w:rPr>
        <w:t>adressing</w:t>
      </w:r>
      <w:proofErr w:type="spellEnd"/>
      <w:r w:rsidRPr="00677F79">
        <w:rPr>
          <w:rFonts w:asciiTheme="majorBidi" w:hAnsiTheme="majorBidi" w:cstheme="majorBidi"/>
          <w:lang w:val="en-US"/>
        </w:rPr>
        <w:t xml:space="preserve"> SDGs implementation and bioenergy/water, with a focus on policies and tools to realize synergies between sustainable bioenergy implementation and sustainable water resource management.</w:t>
      </w:r>
    </w:p>
    <w:p w14:paraId="4D85379C" w14:textId="77777777" w:rsidR="00D117F7" w:rsidRPr="00677F79" w:rsidRDefault="00D117F7" w:rsidP="00677F79">
      <w:pPr>
        <w:jc w:val="both"/>
        <w:rPr>
          <w:rFonts w:asciiTheme="majorBidi" w:hAnsiTheme="majorBidi" w:cstheme="majorBidi"/>
          <w:b/>
          <w:lang w:val="en-US"/>
        </w:rPr>
      </w:pPr>
    </w:p>
    <w:p w14:paraId="17833AFD" w14:textId="212D8715" w:rsidR="00D117F7" w:rsidRPr="00677F79" w:rsidRDefault="00D117F7" w:rsidP="00677F79">
      <w:pPr>
        <w:jc w:val="both"/>
        <w:rPr>
          <w:rFonts w:asciiTheme="majorBidi" w:hAnsiTheme="majorBidi" w:cstheme="majorBidi"/>
          <w:lang w:val="en-US"/>
        </w:rPr>
      </w:pPr>
      <w:r w:rsidRPr="00677F79">
        <w:rPr>
          <w:rFonts w:asciiTheme="majorBidi" w:hAnsiTheme="majorBidi" w:cstheme="majorBidi"/>
          <w:b/>
          <w:lang w:val="en-US"/>
        </w:rPr>
        <w:t>Classification of event (theme of topic)</w:t>
      </w:r>
      <w:r w:rsidR="00EC52DC" w:rsidRPr="00677F79">
        <w:rPr>
          <w:rFonts w:asciiTheme="majorBidi" w:hAnsiTheme="majorBidi" w:cstheme="majorBidi"/>
          <w:b/>
          <w:lang w:val="en-US"/>
        </w:rPr>
        <w:t xml:space="preserve">: </w:t>
      </w:r>
      <w:r w:rsidRPr="00677F79">
        <w:rPr>
          <w:rFonts w:asciiTheme="majorBidi" w:hAnsiTheme="majorBidi" w:cstheme="majorBidi"/>
          <w:lang w:val="en-US"/>
        </w:rPr>
        <w:t xml:space="preserve">Water-energy-food trade-offs </w:t>
      </w:r>
    </w:p>
    <w:p w14:paraId="207AC56B" w14:textId="77777777" w:rsidR="00D117F7" w:rsidRPr="00677F79" w:rsidRDefault="00D117F7" w:rsidP="00677F79">
      <w:pPr>
        <w:jc w:val="both"/>
        <w:rPr>
          <w:rFonts w:asciiTheme="majorBidi" w:hAnsiTheme="majorBidi" w:cstheme="majorBidi"/>
          <w:b/>
          <w:lang w:val="en-US"/>
        </w:rPr>
      </w:pPr>
    </w:p>
    <w:p w14:paraId="20F4549E" w14:textId="77777777" w:rsidR="00D117F7" w:rsidRPr="00677F79" w:rsidRDefault="00D117F7" w:rsidP="00677F79">
      <w:pPr>
        <w:jc w:val="both"/>
        <w:rPr>
          <w:rFonts w:asciiTheme="majorBidi" w:hAnsiTheme="majorBidi" w:cstheme="majorBidi"/>
          <w:b/>
          <w:lang w:val="en-US"/>
        </w:rPr>
      </w:pPr>
      <w:r w:rsidRPr="00677F79">
        <w:rPr>
          <w:rFonts w:asciiTheme="majorBidi" w:hAnsiTheme="majorBidi" w:cstheme="majorBidi"/>
          <w:b/>
          <w:lang w:val="en-US"/>
        </w:rPr>
        <w:t>Event description</w:t>
      </w:r>
    </w:p>
    <w:p w14:paraId="585EF475" w14:textId="77777777" w:rsidR="00D117F7" w:rsidRPr="00677F79" w:rsidRDefault="00D117F7" w:rsidP="00677F79">
      <w:pPr>
        <w:jc w:val="both"/>
        <w:rPr>
          <w:rFonts w:asciiTheme="majorBidi" w:hAnsiTheme="majorBidi" w:cstheme="majorBidi"/>
          <w:b/>
          <w:lang w:val="en-US"/>
        </w:rPr>
      </w:pPr>
      <w:r w:rsidRPr="00677F79">
        <w:rPr>
          <w:rFonts w:asciiTheme="majorBidi" w:hAnsiTheme="majorBidi" w:cstheme="majorBidi"/>
          <w:lang w:val="en-US"/>
        </w:rPr>
        <w:t xml:space="preserve">We propose to organize an event for the dissemination and discussion of outcomes from an initiative to collect examples of positive bioenergy and water linkages. This collection </w:t>
      </w:r>
      <w:proofErr w:type="gramStart"/>
      <w:r w:rsidRPr="00677F79">
        <w:rPr>
          <w:rFonts w:asciiTheme="majorBidi" w:hAnsiTheme="majorBidi" w:cstheme="majorBidi"/>
          <w:lang w:val="en-US"/>
        </w:rPr>
        <w:t>showcases</w:t>
      </w:r>
      <w:proofErr w:type="gramEnd"/>
      <w:r w:rsidRPr="00677F79">
        <w:rPr>
          <w:rFonts w:asciiTheme="majorBidi" w:hAnsiTheme="majorBidi" w:cstheme="majorBidi"/>
          <w:lang w:val="en-US"/>
        </w:rPr>
        <w:t xml:space="preserve"> innovative examples of how bioenergy systems - in both the feedstock production and conversion phases - can produce positive impacts on the status of water. The examples that </w:t>
      </w:r>
      <w:proofErr w:type="gramStart"/>
      <w:r w:rsidRPr="00677F79">
        <w:rPr>
          <w:rFonts w:asciiTheme="majorBidi" w:hAnsiTheme="majorBidi" w:cstheme="majorBidi"/>
          <w:lang w:val="en-US"/>
        </w:rPr>
        <w:t>have been documented</w:t>
      </w:r>
      <w:proofErr w:type="gramEnd"/>
      <w:r w:rsidRPr="00677F79">
        <w:rPr>
          <w:rFonts w:asciiTheme="majorBidi" w:hAnsiTheme="majorBidi" w:cstheme="majorBidi"/>
          <w:lang w:val="en-US"/>
        </w:rPr>
        <w:t xml:space="preserve"> so far cover a wide range of geographic locations, feedstocks, bioenergy pathways and practices. They come from 11 countries across six continents: Argentina, Australia, Brazil, China, Egypt, Germany, Italy, Mexico, Paraguay, South Africa and the United States of America. Each example includes qualitative and/or quantitative data on the positive impacts on water quality and availability, biomass/bioenergy production as well as any possible co-benefits that </w:t>
      </w:r>
      <w:proofErr w:type="gramStart"/>
      <w:r w:rsidRPr="00677F79">
        <w:rPr>
          <w:rFonts w:asciiTheme="majorBidi" w:hAnsiTheme="majorBidi" w:cstheme="majorBidi"/>
          <w:lang w:val="en-US"/>
        </w:rPr>
        <w:t>were observed</w:t>
      </w:r>
      <w:proofErr w:type="gramEnd"/>
      <w:r w:rsidRPr="00677F79">
        <w:rPr>
          <w:rFonts w:asciiTheme="majorBidi" w:hAnsiTheme="majorBidi" w:cstheme="majorBidi"/>
          <w:lang w:val="en-US"/>
        </w:rPr>
        <w:t>.</w:t>
      </w:r>
    </w:p>
    <w:p w14:paraId="4DD51C26" w14:textId="77777777" w:rsidR="00D117F7" w:rsidRPr="00677F79" w:rsidRDefault="00D117F7" w:rsidP="00677F79">
      <w:pPr>
        <w:jc w:val="both"/>
        <w:rPr>
          <w:rFonts w:asciiTheme="majorBidi" w:hAnsiTheme="majorBidi" w:cstheme="majorBidi"/>
          <w:lang w:val="en-US"/>
        </w:rPr>
      </w:pPr>
      <w:r w:rsidRPr="00677F79">
        <w:rPr>
          <w:rFonts w:asciiTheme="majorBidi" w:hAnsiTheme="majorBidi" w:cstheme="majorBidi"/>
          <w:lang w:val="en-US"/>
        </w:rPr>
        <w:t xml:space="preserve">The event will build on an integrative understanding of bioenergy and water, aiming to contribute to SDG implementation. Selected positive examples </w:t>
      </w:r>
      <w:proofErr w:type="gramStart"/>
      <w:r w:rsidRPr="00677F79">
        <w:rPr>
          <w:rFonts w:asciiTheme="majorBidi" w:hAnsiTheme="majorBidi" w:cstheme="majorBidi"/>
          <w:lang w:val="en-US"/>
        </w:rPr>
        <w:t>will be presented</w:t>
      </w:r>
      <w:proofErr w:type="gramEnd"/>
      <w:r w:rsidRPr="00677F79">
        <w:rPr>
          <w:rFonts w:asciiTheme="majorBidi" w:hAnsiTheme="majorBidi" w:cstheme="majorBidi"/>
          <w:lang w:val="en-US"/>
        </w:rPr>
        <w:t xml:space="preserve"> together with learning from activities addressing linkages between SDGs and the GBEP Sustainability Indicators, which are intended to guide analysis undertaken of bioenergy at the domestic level with a view to informing decision making and facilitating the sustainable development of bioenergy in a manner consistent with multilateral trade.</w:t>
      </w:r>
    </w:p>
    <w:p w14:paraId="03A5AA03" w14:textId="77777777" w:rsidR="00D117F7" w:rsidRPr="00677F79" w:rsidRDefault="00D117F7" w:rsidP="00677F79">
      <w:pPr>
        <w:jc w:val="both"/>
        <w:rPr>
          <w:rFonts w:asciiTheme="majorBidi" w:hAnsiTheme="majorBidi" w:cstheme="majorBidi"/>
          <w:b/>
          <w:lang w:val="en-US"/>
        </w:rPr>
      </w:pPr>
    </w:p>
    <w:p w14:paraId="0577DE28" w14:textId="77777777" w:rsidR="00D117F7" w:rsidRPr="00677F79" w:rsidRDefault="00D117F7" w:rsidP="00677F79">
      <w:pPr>
        <w:jc w:val="both"/>
        <w:rPr>
          <w:rFonts w:asciiTheme="majorBidi" w:hAnsiTheme="majorBidi" w:cstheme="majorBidi"/>
          <w:b/>
          <w:lang w:val="en-US"/>
        </w:rPr>
      </w:pPr>
      <w:r w:rsidRPr="00677F79">
        <w:rPr>
          <w:rFonts w:asciiTheme="majorBidi" w:hAnsiTheme="majorBidi" w:cstheme="majorBidi"/>
          <w:b/>
          <w:lang w:val="en-US"/>
        </w:rPr>
        <w:t>Event objectives and expected outcomes</w:t>
      </w:r>
    </w:p>
    <w:p w14:paraId="20A0B4EC" w14:textId="01F40505" w:rsidR="00D117F7" w:rsidRPr="00677F79" w:rsidRDefault="00D117F7" w:rsidP="00677F79">
      <w:pPr>
        <w:jc w:val="both"/>
        <w:rPr>
          <w:rFonts w:asciiTheme="majorBidi" w:hAnsiTheme="majorBidi" w:cstheme="majorBidi"/>
          <w:b/>
          <w:lang w:val="en-US"/>
        </w:rPr>
      </w:pPr>
      <w:r w:rsidRPr="00677F79">
        <w:rPr>
          <w:rFonts w:asciiTheme="majorBidi" w:hAnsiTheme="majorBidi" w:cstheme="majorBidi"/>
          <w:lang w:val="en-US"/>
        </w:rPr>
        <w:t>By disseminating knowledge and experience, we aim to inspire and support other bioenergy producers as well as actors facing challenges related to the management of water resources. The proposed event will also support the preparation of a publication on SDGs implementa</w:t>
      </w:r>
      <w:r w:rsidR="00EC52DC" w:rsidRPr="00677F79">
        <w:rPr>
          <w:rFonts w:asciiTheme="majorBidi" w:hAnsiTheme="majorBidi" w:cstheme="majorBidi"/>
          <w:lang w:val="en-US"/>
        </w:rPr>
        <w:softHyphen/>
      </w:r>
      <w:r w:rsidRPr="00677F79">
        <w:rPr>
          <w:rFonts w:asciiTheme="majorBidi" w:hAnsiTheme="majorBidi" w:cstheme="majorBidi"/>
          <w:lang w:val="en-US"/>
        </w:rPr>
        <w:t>tion and bioenergy/water, with a focus on policies and tools (e.g., best practices) to realize synergies between sustainable bioenergy implementation and sustainable water resource mana</w:t>
      </w:r>
      <w:r w:rsidR="00EC52DC" w:rsidRPr="00677F79">
        <w:rPr>
          <w:rFonts w:asciiTheme="majorBidi" w:hAnsiTheme="majorBidi" w:cstheme="majorBidi"/>
          <w:lang w:val="en-US"/>
        </w:rPr>
        <w:softHyphen/>
      </w:r>
      <w:r w:rsidRPr="00677F79">
        <w:rPr>
          <w:rFonts w:asciiTheme="majorBidi" w:hAnsiTheme="majorBidi" w:cstheme="majorBidi"/>
          <w:lang w:val="en-US"/>
        </w:rPr>
        <w:t>gement, considering linkages to biodiversity, land use, livelihoods, and rural develop</w:t>
      </w:r>
      <w:r w:rsidR="00EC52DC" w:rsidRPr="00677F79">
        <w:rPr>
          <w:rFonts w:asciiTheme="majorBidi" w:hAnsiTheme="majorBidi" w:cstheme="majorBidi"/>
          <w:lang w:val="en-US"/>
        </w:rPr>
        <w:softHyphen/>
      </w:r>
      <w:r w:rsidRPr="00677F79">
        <w:rPr>
          <w:rFonts w:asciiTheme="majorBidi" w:hAnsiTheme="majorBidi" w:cstheme="majorBidi"/>
          <w:lang w:val="en-US"/>
        </w:rPr>
        <w:t>ment.</w:t>
      </w:r>
    </w:p>
    <w:p w14:paraId="2F1693CA" w14:textId="5DC41BED" w:rsidR="00D117F7" w:rsidRPr="00677F79" w:rsidRDefault="00D117F7" w:rsidP="00677F79">
      <w:pPr>
        <w:jc w:val="both"/>
        <w:rPr>
          <w:rFonts w:asciiTheme="majorBidi" w:hAnsiTheme="majorBidi" w:cstheme="majorBidi"/>
          <w:lang w:val="en-US"/>
        </w:rPr>
      </w:pPr>
      <w:r w:rsidRPr="00677F79">
        <w:rPr>
          <w:rFonts w:asciiTheme="majorBidi" w:hAnsiTheme="majorBidi" w:cstheme="majorBidi"/>
          <w:lang w:val="en-US"/>
        </w:rPr>
        <w:t>GBEP was founded in 2006 as an intergovernmental partnership based on the idea that bioenergy can significantly contribute to energy access and security, climate change miti</w:t>
      </w:r>
      <w:r w:rsidR="00EC52DC" w:rsidRPr="00677F79">
        <w:rPr>
          <w:rFonts w:asciiTheme="majorBidi" w:hAnsiTheme="majorBidi" w:cstheme="majorBidi"/>
          <w:lang w:val="en-US"/>
        </w:rPr>
        <w:softHyphen/>
      </w:r>
      <w:r w:rsidRPr="00677F79">
        <w:rPr>
          <w:rFonts w:asciiTheme="majorBidi" w:hAnsiTheme="majorBidi" w:cstheme="majorBidi"/>
          <w:lang w:val="en-US"/>
        </w:rPr>
        <w:t>ga</w:t>
      </w:r>
      <w:r w:rsidR="00EC52DC" w:rsidRPr="00677F79">
        <w:rPr>
          <w:rFonts w:asciiTheme="majorBidi" w:hAnsiTheme="majorBidi" w:cstheme="majorBidi"/>
          <w:lang w:val="en-US"/>
        </w:rPr>
        <w:softHyphen/>
      </w:r>
      <w:r w:rsidRPr="00677F79">
        <w:rPr>
          <w:rFonts w:asciiTheme="majorBidi" w:hAnsiTheme="majorBidi" w:cstheme="majorBidi"/>
          <w:lang w:val="en-US"/>
        </w:rPr>
        <w:t>tion, food security, and ultimately sustainable development. It brings together public, private and civil society stakeholders in a joint commitment to promote bioenergy for sustain</w:t>
      </w:r>
      <w:r w:rsidR="00EC52DC" w:rsidRPr="00677F79">
        <w:rPr>
          <w:rFonts w:asciiTheme="majorBidi" w:hAnsiTheme="majorBidi" w:cstheme="majorBidi"/>
          <w:lang w:val="en-US"/>
        </w:rPr>
        <w:softHyphen/>
      </w:r>
      <w:r w:rsidRPr="00677F79">
        <w:rPr>
          <w:rFonts w:asciiTheme="majorBidi" w:hAnsiTheme="majorBidi" w:cstheme="majorBidi"/>
          <w:lang w:val="en-US"/>
        </w:rPr>
        <w:t>able development. GBEP now has more than 70 members.</w:t>
      </w:r>
    </w:p>
    <w:p w14:paraId="460DC75E" w14:textId="47703C72" w:rsidR="00D117F7" w:rsidRPr="00677F79" w:rsidRDefault="00D117F7" w:rsidP="00677F79">
      <w:pPr>
        <w:jc w:val="both"/>
        <w:rPr>
          <w:rFonts w:asciiTheme="majorBidi" w:hAnsiTheme="majorBidi" w:cstheme="majorBidi"/>
          <w:lang w:val="en-US"/>
        </w:rPr>
      </w:pPr>
      <w:r w:rsidRPr="00677F79">
        <w:rPr>
          <w:rFonts w:asciiTheme="majorBidi" w:hAnsiTheme="majorBidi" w:cstheme="majorBidi"/>
          <w:lang w:val="en-US"/>
        </w:rPr>
        <w:t>GBEP Activity Group 6 identifies and disseminates ways of integrating bioenergy systems into landscapes to improve management of water resources. This includes sharing knowledge and experiences on best management practices as well as on policies and instruments supporting bioenergy implementation that contributes positively to the state of water. AG6 also serves as a vehicle for awareness raising on the GBEP sustainability indicators on water.</w:t>
      </w:r>
    </w:p>
    <w:sectPr w:rsidR="00D117F7" w:rsidRPr="00677F79" w:rsidSect="00677F79">
      <w:headerReference w:type="even" r:id="rId8"/>
      <w:headerReference w:type="default" r:id="rId9"/>
      <w:footerReference w:type="even" r:id="rId10"/>
      <w:pgSz w:w="11907" w:h="16840" w:code="9"/>
      <w:pgMar w:top="1813" w:right="1418" w:bottom="990" w:left="1418" w:header="35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E2E73" w14:textId="77777777" w:rsidR="00A11AA7" w:rsidRDefault="00A11AA7">
      <w:r>
        <w:separator/>
      </w:r>
    </w:p>
  </w:endnote>
  <w:endnote w:type="continuationSeparator" w:id="0">
    <w:p w14:paraId="400A2B56" w14:textId="77777777" w:rsidR="00A11AA7" w:rsidRDefault="00A11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B8959" w14:textId="77777777" w:rsidR="00A00BEE" w:rsidRDefault="00A00BEE" w:rsidP="00292FE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874A0" w14:textId="77777777" w:rsidR="00A11AA7" w:rsidRDefault="00A11AA7">
      <w:r>
        <w:separator/>
      </w:r>
    </w:p>
  </w:footnote>
  <w:footnote w:type="continuationSeparator" w:id="0">
    <w:p w14:paraId="63FA216A" w14:textId="77777777" w:rsidR="00A11AA7" w:rsidRDefault="00A11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B8956" w14:textId="77777777" w:rsidR="00A00BEE" w:rsidRPr="007D0325" w:rsidRDefault="00A00BEE" w:rsidP="00760C48">
    <w:pPr>
      <w:pStyle w:val="Header"/>
      <w:ind w:hanging="480"/>
    </w:pPr>
    <w:r>
      <w:rPr>
        <w:noProof/>
        <w:lang w:val="en-US" w:eastAsia="zh-CN"/>
      </w:rPr>
      <w:drawing>
        <wp:inline distT="0" distB="0" distL="0" distR="0" wp14:anchorId="496B895A" wp14:editId="496B895B">
          <wp:extent cx="6753225" cy="742950"/>
          <wp:effectExtent l="1905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753225" cy="7429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B8958" w14:textId="77777777" w:rsidR="00A00BEE" w:rsidRDefault="00A00BEE" w:rsidP="007B27DF">
    <w:pPr>
      <w:pStyle w:val="Header"/>
      <w:ind w:hanging="480"/>
    </w:pPr>
    <w:r>
      <w:rPr>
        <w:noProof/>
        <w:lang w:val="en-US" w:eastAsia="zh-CN"/>
      </w:rPr>
      <w:drawing>
        <wp:inline distT="0" distB="0" distL="0" distR="0" wp14:anchorId="496B895C" wp14:editId="496B895D">
          <wp:extent cx="6753225" cy="742950"/>
          <wp:effectExtent l="1905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53225" cy="742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4"/>
    <w:lvl w:ilvl="0">
      <w:start w:val="1"/>
      <w:numFmt w:val="bullet"/>
      <w:lvlText w:val=""/>
      <w:lvlJc w:val="left"/>
      <w:pPr>
        <w:tabs>
          <w:tab w:val="num" w:pos="-270"/>
        </w:tabs>
        <w:ind w:left="450" w:hanging="360"/>
      </w:pPr>
      <w:rPr>
        <w:rFonts w:ascii="Symbol" w:hAnsi="Symbol" w:cs="Symbol"/>
      </w:rPr>
    </w:lvl>
    <w:lvl w:ilvl="1">
      <w:start w:val="1"/>
      <w:numFmt w:val="bullet"/>
      <w:lvlText w:val="o"/>
      <w:lvlJc w:val="left"/>
      <w:pPr>
        <w:tabs>
          <w:tab w:val="num" w:pos="-270"/>
        </w:tabs>
        <w:ind w:left="1170" w:hanging="360"/>
      </w:pPr>
      <w:rPr>
        <w:rFonts w:ascii="Courier New" w:hAnsi="Courier New" w:cs="Courier New"/>
      </w:rPr>
    </w:lvl>
    <w:lvl w:ilvl="2">
      <w:start w:val="1"/>
      <w:numFmt w:val="bullet"/>
      <w:lvlText w:val=""/>
      <w:lvlJc w:val="left"/>
      <w:pPr>
        <w:tabs>
          <w:tab w:val="num" w:pos="-270"/>
        </w:tabs>
        <w:ind w:left="1890" w:hanging="360"/>
      </w:pPr>
      <w:rPr>
        <w:rFonts w:ascii="Wingdings" w:hAnsi="Wingdings" w:cs="Wingdings"/>
      </w:rPr>
    </w:lvl>
    <w:lvl w:ilvl="3">
      <w:start w:val="1"/>
      <w:numFmt w:val="bullet"/>
      <w:lvlText w:val=""/>
      <w:lvlJc w:val="left"/>
      <w:pPr>
        <w:tabs>
          <w:tab w:val="num" w:pos="-270"/>
        </w:tabs>
        <w:ind w:left="2610" w:hanging="360"/>
      </w:pPr>
      <w:rPr>
        <w:rFonts w:ascii="Symbol" w:hAnsi="Symbol" w:cs="Symbol"/>
      </w:rPr>
    </w:lvl>
    <w:lvl w:ilvl="4">
      <w:start w:val="1"/>
      <w:numFmt w:val="bullet"/>
      <w:lvlText w:val="o"/>
      <w:lvlJc w:val="left"/>
      <w:pPr>
        <w:tabs>
          <w:tab w:val="num" w:pos="-270"/>
        </w:tabs>
        <w:ind w:left="3330" w:hanging="360"/>
      </w:pPr>
      <w:rPr>
        <w:rFonts w:ascii="Courier New" w:hAnsi="Courier New" w:cs="Courier New"/>
      </w:rPr>
    </w:lvl>
    <w:lvl w:ilvl="5">
      <w:start w:val="1"/>
      <w:numFmt w:val="bullet"/>
      <w:lvlText w:val=""/>
      <w:lvlJc w:val="left"/>
      <w:pPr>
        <w:tabs>
          <w:tab w:val="num" w:pos="-270"/>
        </w:tabs>
        <w:ind w:left="4050" w:hanging="360"/>
      </w:pPr>
      <w:rPr>
        <w:rFonts w:ascii="Wingdings" w:hAnsi="Wingdings" w:cs="Wingdings"/>
      </w:rPr>
    </w:lvl>
    <w:lvl w:ilvl="6">
      <w:start w:val="1"/>
      <w:numFmt w:val="bullet"/>
      <w:lvlText w:val=""/>
      <w:lvlJc w:val="left"/>
      <w:pPr>
        <w:tabs>
          <w:tab w:val="num" w:pos="-270"/>
        </w:tabs>
        <w:ind w:left="4770" w:hanging="360"/>
      </w:pPr>
      <w:rPr>
        <w:rFonts w:ascii="Symbol" w:hAnsi="Symbol" w:cs="Symbol"/>
      </w:rPr>
    </w:lvl>
    <w:lvl w:ilvl="7">
      <w:start w:val="1"/>
      <w:numFmt w:val="bullet"/>
      <w:lvlText w:val="o"/>
      <w:lvlJc w:val="left"/>
      <w:pPr>
        <w:tabs>
          <w:tab w:val="num" w:pos="-270"/>
        </w:tabs>
        <w:ind w:left="5490" w:hanging="360"/>
      </w:pPr>
      <w:rPr>
        <w:rFonts w:ascii="Courier New" w:hAnsi="Courier New" w:cs="Courier New"/>
      </w:rPr>
    </w:lvl>
    <w:lvl w:ilvl="8">
      <w:start w:val="1"/>
      <w:numFmt w:val="bullet"/>
      <w:lvlText w:val=""/>
      <w:lvlJc w:val="left"/>
      <w:pPr>
        <w:tabs>
          <w:tab w:val="num" w:pos="-270"/>
        </w:tabs>
        <w:ind w:left="6210" w:hanging="360"/>
      </w:pPr>
      <w:rPr>
        <w:rFonts w:ascii="Wingdings" w:hAnsi="Wingdings" w:cs="Wingdings"/>
      </w:rPr>
    </w:lvl>
  </w:abstractNum>
  <w:abstractNum w:abstractNumId="1" w15:restartNumberingAfterBreak="0">
    <w:nsid w:val="032304F2"/>
    <w:multiLevelType w:val="hybridMultilevel"/>
    <w:tmpl w:val="FDFEA4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7853789"/>
    <w:multiLevelType w:val="hybridMultilevel"/>
    <w:tmpl w:val="1B68D1E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20994F18"/>
    <w:multiLevelType w:val="hybridMultilevel"/>
    <w:tmpl w:val="DD6CFB1A"/>
    <w:lvl w:ilvl="0" w:tplc="08090001">
      <w:start w:val="1"/>
      <w:numFmt w:val="bullet"/>
      <w:lvlText w:val=""/>
      <w:lvlJc w:val="left"/>
      <w:pPr>
        <w:ind w:left="2345" w:hanging="360"/>
      </w:pPr>
      <w:rPr>
        <w:rFonts w:ascii="Symbol" w:hAnsi="Symbol" w:hint="default"/>
      </w:rPr>
    </w:lvl>
    <w:lvl w:ilvl="1" w:tplc="04090003">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4" w15:restartNumberingAfterBreak="0">
    <w:nsid w:val="248D6041"/>
    <w:multiLevelType w:val="hybridMultilevel"/>
    <w:tmpl w:val="F3C8FC7E"/>
    <w:lvl w:ilvl="0" w:tplc="08090001">
      <w:start w:val="1"/>
      <w:numFmt w:val="bullet"/>
      <w:lvlText w:val=""/>
      <w:lvlJc w:val="left"/>
      <w:pPr>
        <w:tabs>
          <w:tab w:val="num" w:pos="5100"/>
        </w:tabs>
        <w:ind w:left="510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7E6C03"/>
    <w:multiLevelType w:val="hybridMultilevel"/>
    <w:tmpl w:val="E0780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8C248D"/>
    <w:multiLevelType w:val="multilevel"/>
    <w:tmpl w:val="E9284EFC"/>
    <w:lvl w:ilvl="0">
      <w:start w:val="10"/>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DEF697D"/>
    <w:multiLevelType w:val="multilevel"/>
    <w:tmpl w:val="5B9AACF6"/>
    <w:lvl w:ilvl="0">
      <w:start w:val="1"/>
      <w:numFmt w:val="bullet"/>
      <w:lvlText w:val=""/>
      <w:lvlJc w:val="left"/>
      <w:pPr>
        <w:tabs>
          <w:tab w:val="num" w:pos="2520"/>
        </w:tabs>
        <w:ind w:left="2520" w:hanging="360"/>
      </w:pPr>
      <w:rPr>
        <w:rFonts w:ascii="Symbol" w:hAnsi="Symbol" w:hint="default"/>
      </w:rPr>
    </w:lvl>
    <w:lvl w:ilvl="1">
      <w:start w:val="30"/>
      <w:numFmt w:val="decimal"/>
      <w:lvlText w:val="%1.%2"/>
      <w:lvlJc w:val="left"/>
      <w:pPr>
        <w:tabs>
          <w:tab w:val="num" w:pos="4320"/>
        </w:tabs>
        <w:ind w:left="4320" w:hanging="2160"/>
      </w:pPr>
      <w:rPr>
        <w:rFonts w:hint="default"/>
      </w:rPr>
    </w:lvl>
    <w:lvl w:ilvl="2">
      <w:start w:val="1"/>
      <w:numFmt w:val="decimal"/>
      <w:lvlText w:val="%1.%2.%3"/>
      <w:lvlJc w:val="left"/>
      <w:pPr>
        <w:tabs>
          <w:tab w:val="num" w:pos="4320"/>
        </w:tabs>
        <w:ind w:left="4320" w:hanging="2160"/>
      </w:pPr>
      <w:rPr>
        <w:rFonts w:hint="default"/>
      </w:rPr>
    </w:lvl>
    <w:lvl w:ilvl="3">
      <w:start w:val="1"/>
      <w:numFmt w:val="bullet"/>
      <w:lvlText w:val=""/>
      <w:lvlJc w:val="left"/>
      <w:pPr>
        <w:tabs>
          <w:tab w:val="num" w:pos="4320"/>
        </w:tabs>
        <w:ind w:left="4320" w:hanging="2160"/>
      </w:pPr>
      <w:rPr>
        <w:rFonts w:ascii="Wingdings" w:hAnsi="Wingdings" w:hint="default"/>
      </w:rPr>
    </w:lvl>
    <w:lvl w:ilvl="4">
      <w:start w:val="1"/>
      <w:numFmt w:val="decimal"/>
      <w:lvlText w:val="%1.%2.%3.%4.%5"/>
      <w:lvlJc w:val="left"/>
      <w:pPr>
        <w:tabs>
          <w:tab w:val="num" w:pos="4320"/>
        </w:tabs>
        <w:ind w:left="4320" w:hanging="2160"/>
      </w:pPr>
      <w:rPr>
        <w:rFonts w:hint="default"/>
      </w:rPr>
    </w:lvl>
    <w:lvl w:ilvl="5">
      <w:start w:val="1"/>
      <w:numFmt w:val="decimal"/>
      <w:lvlText w:val="%1.%2.%3.%4.%5.%6"/>
      <w:lvlJc w:val="left"/>
      <w:pPr>
        <w:tabs>
          <w:tab w:val="num" w:pos="4320"/>
        </w:tabs>
        <w:ind w:left="4320" w:hanging="216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320"/>
        </w:tabs>
        <w:ind w:left="4320" w:hanging="2160"/>
      </w:pPr>
      <w:rPr>
        <w:rFonts w:hint="default"/>
      </w:rPr>
    </w:lvl>
    <w:lvl w:ilvl="8">
      <w:start w:val="1"/>
      <w:numFmt w:val="decimal"/>
      <w:lvlText w:val="%1.%2.%3.%4.%5.%6.%7.%8.%9"/>
      <w:lvlJc w:val="left"/>
      <w:pPr>
        <w:tabs>
          <w:tab w:val="num" w:pos="4320"/>
        </w:tabs>
        <w:ind w:left="4320" w:hanging="2160"/>
      </w:pPr>
      <w:rPr>
        <w:rFonts w:hint="default"/>
      </w:rPr>
    </w:lvl>
  </w:abstractNum>
  <w:abstractNum w:abstractNumId="8" w15:restartNumberingAfterBreak="0">
    <w:nsid w:val="340024CD"/>
    <w:multiLevelType w:val="hybridMultilevel"/>
    <w:tmpl w:val="FE26A0E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59C5D13"/>
    <w:multiLevelType w:val="hybridMultilevel"/>
    <w:tmpl w:val="EEE44C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98B601E8">
      <w:start w:val="1"/>
      <w:numFmt w:val="bullet"/>
      <w:lvlText w:val=""/>
      <w:lvlJc w:val="left"/>
      <w:pPr>
        <w:tabs>
          <w:tab w:val="num" w:pos="3600"/>
        </w:tabs>
        <w:ind w:left="3600" w:hanging="360"/>
      </w:pPr>
      <w:rPr>
        <w:rFonts w:ascii="Symbol" w:hAnsi="Symbol" w:hint="default"/>
        <w:b w:val="0"/>
        <w:i w:val="0"/>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735D16"/>
    <w:multiLevelType w:val="hybridMultilevel"/>
    <w:tmpl w:val="B03699AE"/>
    <w:lvl w:ilvl="0" w:tplc="04090001">
      <w:start w:val="1"/>
      <w:numFmt w:val="bullet"/>
      <w:lvlText w:val=""/>
      <w:lvlJc w:val="left"/>
      <w:pPr>
        <w:ind w:left="2629" w:hanging="360"/>
      </w:pPr>
      <w:rPr>
        <w:rFonts w:ascii="Symbol" w:hAnsi="Symbol" w:hint="default"/>
      </w:rPr>
    </w:lvl>
    <w:lvl w:ilvl="1" w:tplc="04090003">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11" w15:restartNumberingAfterBreak="0">
    <w:nsid w:val="3DF6529B"/>
    <w:multiLevelType w:val="hybridMultilevel"/>
    <w:tmpl w:val="7E8A077C"/>
    <w:lvl w:ilvl="0" w:tplc="3C7248C8">
      <w:numFmt w:val="bullet"/>
      <w:lvlText w:val=""/>
      <w:lvlJc w:val="left"/>
      <w:pPr>
        <w:ind w:left="72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F946447"/>
    <w:multiLevelType w:val="hybridMultilevel"/>
    <w:tmpl w:val="593EF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3C0044"/>
    <w:multiLevelType w:val="hybridMultilevel"/>
    <w:tmpl w:val="7F12734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4EDD453A"/>
    <w:multiLevelType w:val="multilevel"/>
    <w:tmpl w:val="0F00B2AC"/>
    <w:lvl w:ilvl="0">
      <w:start w:val="10"/>
      <w:numFmt w:val="decimal"/>
      <w:lvlText w:val="%1"/>
      <w:lvlJc w:val="left"/>
      <w:pPr>
        <w:ind w:left="540" w:hanging="540"/>
      </w:pPr>
      <w:rPr>
        <w:rFonts w:ascii="Times New Roman" w:hAnsi="Times New Roman" w:hint="default"/>
        <w:color w:val="auto"/>
        <w:sz w:val="24"/>
      </w:rPr>
    </w:lvl>
    <w:lvl w:ilvl="1">
      <w:start w:val="30"/>
      <w:numFmt w:val="decimal"/>
      <w:lvlText w:val="%1.%2"/>
      <w:lvlJc w:val="left"/>
      <w:pPr>
        <w:ind w:left="540" w:hanging="540"/>
      </w:pPr>
      <w:rPr>
        <w:rFonts w:ascii="Times New Roman" w:hAnsi="Times New Roman" w:hint="default"/>
        <w:color w:val="auto"/>
        <w:sz w:val="24"/>
      </w:rPr>
    </w:lvl>
    <w:lvl w:ilvl="2">
      <w:start w:val="1"/>
      <w:numFmt w:val="decimal"/>
      <w:lvlText w:val="%1.%2.%3"/>
      <w:lvlJc w:val="left"/>
      <w:pPr>
        <w:ind w:left="720" w:hanging="720"/>
      </w:pPr>
      <w:rPr>
        <w:rFonts w:ascii="Times New Roman" w:hAnsi="Times New Roman" w:hint="default"/>
        <w:color w:val="auto"/>
        <w:sz w:val="24"/>
      </w:rPr>
    </w:lvl>
    <w:lvl w:ilvl="3">
      <w:start w:val="1"/>
      <w:numFmt w:val="decimal"/>
      <w:lvlText w:val="%1.%2.%3.%4"/>
      <w:lvlJc w:val="left"/>
      <w:pPr>
        <w:ind w:left="720" w:hanging="720"/>
      </w:pPr>
      <w:rPr>
        <w:rFonts w:ascii="Times New Roman" w:hAnsi="Times New Roman" w:hint="default"/>
        <w:color w:val="auto"/>
        <w:sz w:val="24"/>
      </w:rPr>
    </w:lvl>
    <w:lvl w:ilvl="4">
      <w:start w:val="1"/>
      <w:numFmt w:val="decimal"/>
      <w:lvlText w:val="%1.%2.%3.%4.%5"/>
      <w:lvlJc w:val="left"/>
      <w:pPr>
        <w:ind w:left="1080" w:hanging="1080"/>
      </w:pPr>
      <w:rPr>
        <w:rFonts w:ascii="Times New Roman" w:hAnsi="Times New Roman" w:hint="default"/>
        <w:color w:val="auto"/>
        <w:sz w:val="24"/>
      </w:rPr>
    </w:lvl>
    <w:lvl w:ilvl="5">
      <w:start w:val="1"/>
      <w:numFmt w:val="decimal"/>
      <w:lvlText w:val="%1.%2.%3.%4.%5.%6"/>
      <w:lvlJc w:val="left"/>
      <w:pPr>
        <w:ind w:left="1080" w:hanging="1080"/>
      </w:pPr>
      <w:rPr>
        <w:rFonts w:ascii="Times New Roman" w:hAnsi="Times New Roman" w:hint="default"/>
        <w:color w:val="auto"/>
        <w:sz w:val="24"/>
      </w:rPr>
    </w:lvl>
    <w:lvl w:ilvl="6">
      <w:start w:val="1"/>
      <w:numFmt w:val="decimal"/>
      <w:lvlText w:val="%1.%2.%3.%4.%5.%6.%7"/>
      <w:lvlJc w:val="left"/>
      <w:pPr>
        <w:ind w:left="1440" w:hanging="1440"/>
      </w:pPr>
      <w:rPr>
        <w:rFonts w:ascii="Times New Roman" w:hAnsi="Times New Roman" w:hint="default"/>
        <w:color w:val="auto"/>
        <w:sz w:val="24"/>
      </w:rPr>
    </w:lvl>
    <w:lvl w:ilvl="7">
      <w:start w:val="1"/>
      <w:numFmt w:val="decimal"/>
      <w:lvlText w:val="%1.%2.%3.%4.%5.%6.%7.%8"/>
      <w:lvlJc w:val="left"/>
      <w:pPr>
        <w:ind w:left="1440" w:hanging="1440"/>
      </w:pPr>
      <w:rPr>
        <w:rFonts w:ascii="Times New Roman" w:hAnsi="Times New Roman" w:hint="default"/>
        <w:color w:val="auto"/>
        <w:sz w:val="24"/>
      </w:rPr>
    </w:lvl>
    <w:lvl w:ilvl="8">
      <w:start w:val="1"/>
      <w:numFmt w:val="decimal"/>
      <w:lvlText w:val="%1.%2.%3.%4.%5.%6.%7.%8.%9"/>
      <w:lvlJc w:val="left"/>
      <w:pPr>
        <w:ind w:left="1800" w:hanging="1800"/>
      </w:pPr>
      <w:rPr>
        <w:rFonts w:ascii="Times New Roman" w:hAnsi="Times New Roman" w:hint="default"/>
        <w:color w:val="auto"/>
        <w:sz w:val="24"/>
      </w:rPr>
    </w:lvl>
  </w:abstractNum>
  <w:abstractNum w:abstractNumId="15" w15:restartNumberingAfterBreak="0">
    <w:nsid w:val="52F241E9"/>
    <w:multiLevelType w:val="hybridMultilevel"/>
    <w:tmpl w:val="A4DC3EF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54B15AAB"/>
    <w:multiLevelType w:val="multilevel"/>
    <w:tmpl w:val="3FCA8C2E"/>
    <w:lvl w:ilvl="0">
      <w:start w:val="14"/>
      <w:numFmt w:val="decimal"/>
      <w:lvlText w:val="%1.0"/>
      <w:lvlJc w:val="left"/>
      <w:pPr>
        <w:ind w:left="540" w:hanging="540"/>
      </w:pPr>
      <w:rPr>
        <w:rFonts w:hint="default"/>
        <w:b/>
        <w:i w:val="0"/>
      </w:rPr>
    </w:lvl>
    <w:lvl w:ilvl="1">
      <w:start w:val="1"/>
      <w:numFmt w:val="decimalZero"/>
      <w:lvlText w:val="%1.%2"/>
      <w:lvlJc w:val="left"/>
      <w:pPr>
        <w:ind w:left="1260" w:hanging="540"/>
      </w:pPr>
      <w:rPr>
        <w:rFonts w:hint="default"/>
        <w:b/>
        <w:i w:val="0"/>
      </w:rPr>
    </w:lvl>
    <w:lvl w:ilvl="2">
      <w:start w:val="1"/>
      <w:numFmt w:val="decimal"/>
      <w:lvlText w:val="%1.%2.%3"/>
      <w:lvlJc w:val="left"/>
      <w:pPr>
        <w:ind w:left="2160" w:hanging="720"/>
      </w:pPr>
      <w:rPr>
        <w:rFonts w:hint="default"/>
        <w:b/>
        <w:i w:val="0"/>
      </w:rPr>
    </w:lvl>
    <w:lvl w:ilvl="3">
      <w:start w:val="1"/>
      <w:numFmt w:val="decimal"/>
      <w:lvlText w:val="%1.%2.%3.%4"/>
      <w:lvlJc w:val="left"/>
      <w:pPr>
        <w:ind w:left="2880" w:hanging="720"/>
      </w:pPr>
      <w:rPr>
        <w:rFonts w:hint="default"/>
        <w:b/>
        <w:i w:val="0"/>
      </w:rPr>
    </w:lvl>
    <w:lvl w:ilvl="4">
      <w:start w:val="1"/>
      <w:numFmt w:val="decimal"/>
      <w:lvlText w:val="%1.%2.%3.%4.%5"/>
      <w:lvlJc w:val="left"/>
      <w:pPr>
        <w:ind w:left="3960" w:hanging="1080"/>
      </w:pPr>
      <w:rPr>
        <w:rFonts w:hint="default"/>
        <w:b/>
        <w:i w:val="0"/>
      </w:rPr>
    </w:lvl>
    <w:lvl w:ilvl="5">
      <w:start w:val="1"/>
      <w:numFmt w:val="decimal"/>
      <w:lvlText w:val="%1.%2.%3.%4.%5.%6"/>
      <w:lvlJc w:val="left"/>
      <w:pPr>
        <w:ind w:left="4680" w:hanging="1080"/>
      </w:pPr>
      <w:rPr>
        <w:rFonts w:hint="default"/>
        <w:b/>
        <w:i w:val="0"/>
      </w:rPr>
    </w:lvl>
    <w:lvl w:ilvl="6">
      <w:start w:val="1"/>
      <w:numFmt w:val="decimal"/>
      <w:lvlText w:val="%1.%2.%3.%4.%5.%6.%7"/>
      <w:lvlJc w:val="left"/>
      <w:pPr>
        <w:ind w:left="5760" w:hanging="1440"/>
      </w:pPr>
      <w:rPr>
        <w:rFonts w:hint="default"/>
        <w:b/>
        <w:i w:val="0"/>
      </w:rPr>
    </w:lvl>
    <w:lvl w:ilvl="7">
      <w:start w:val="1"/>
      <w:numFmt w:val="decimal"/>
      <w:lvlText w:val="%1.%2.%3.%4.%5.%6.%7.%8"/>
      <w:lvlJc w:val="left"/>
      <w:pPr>
        <w:ind w:left="6480" w:hanging="1440"/>
      </w:pPr>
      <w:rPr>
        <w:rFonts w:hint="default"/>
        <w:b/>
        <w:i w:val="0"/>
      </w:rPr>
    </w:lvl>
    <w:lvl w:ilvl="8">
      <w:start w:val="1"/>
      <w:numFmt w:val="decimal"/>
      <w:lvlText w:val="%1.%2.%3.%4.%5.%6.%7.%8.%9"/>
      <w:lvlJc w:val="left"/>
      <w:pPr>
        <w:ind w:left="7560" w:hanging="1800"/>
      </w:pPr>
      <w:rPr>
        <w:rFonts w:hint="default"/>
        <w:b/>
        <w:i w:val="0"/>
      </w:rPr>
    </w:lvl>
  </w:abstractNum>
  <w:abstractNum w:abstractNumId="17" w15:restartNumberingAfterBreak="0">
    <w:nsid w:val="5E703F85"/>
    <w:multiLevelType w:val="hybridMultilevel"/>
    <w:tmpl w:val="0F42B40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67200870"/>
    <w:multiLevelType w:val="hybridMultilevel"/>
    <w:tmpl w:val="3A565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5074E3"/>
    <w:multiLevelType w:val="hybridMultilevel"/>
    <w:tmpl w:val="DE982CD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6C8D1BDD"/>
    <w:multiLevelType w:val="hybridMultilevel"/>
    <w:tmpl w:val="64C41D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6E243927"/>
    <w:multiLevelType w:val="hybridMultilevel"/>
    <w:tmpl w:val="EB300F44"/>
    <w:lvl w:ilvl="0" w:tplc="04090001">
      <w:start w:val="1"/>
      <w:numFmt w:val="bullet"/>
      <w:lvlText w:val=""/>
      <w:lvlJc w:val="left"/>
      <w:pPr>
        <w:ind w:left="3330" w:hanging="360"/>
      </w:pPr>
      <w:rPr>
        <w:rFonts w:ascii="Symbol" w:hAnsi="Symbol" w:hint="default"/>
      </w:rPr>
    </w:lvl>
    <w:lvl w:ilvl="1" w:tplc="04090003">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22" w15:restartNumberingAfterBreak="0">
    <w:nsid w:val="6F1A7A22"/>
    <w:multiLevelType w:val="hybridMultilevel"/>
    <w:tmpl w:val="6322A010"/>
    <w:lvl w:ilvl="0" w:tplc="08090001">
      <w:start w:val="1"/>
      <w:numFmt w:val="bullet"/>
      <w:lvlText w:val=""/>
      <w:lvlJc w:val="left"/>
      <w:pPr>
        <w:tabs>
          <w:tab w:val="num" w:pos="7260"/>
        </w:tabs>
        <w:ind w:left="726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cs="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cs="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cs="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23" w15:restartNumberingAfterBreak="0">
    <w:nsid w:val="70146F4A"/>
    <w:multiLevelType w:val="multilevel"/>
    <w:tmpl w:val="61B27D20"/>
    <w:lvl w:ilvl="0">
      <w:start w:val="10"/>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23D66C0"/>
    <w:multiLevelType w:val="hybridMultilevel"/>
    <w:tmpl w:val="277ACF72"/>
    <w:lvl w:ilvl="0" w:tplc="04090001">
      <w:start w:val="1"/>
      <w:numFmt w:val="bullet"/>
      <w:lvlText w:val=""/>
      <w:lvlJc w:val="left"/>
      <w:pPr>
        <w:ind w:left="2847" w:hanging="360"/>
      </w:pPr>
      <w:rPr>
        <w:rFonts w:ascii="Symbol" w:hAnsi="Symbol"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25" w15:restartNumberingAfterBreak="0">
    <w:nsid w:val="73E60E8B"/>
    <w:multiLevelType w:val="multilevel"/>
    <w:tmpl w:val="27F0A6FA"/>
    <w:lvl w:ilvl="0">
      <w:start w:val="14"/>
      <w:numFmt w:val="decimal"/>
      <w:lvlText w:val="%1.0"/>
      <w:lvlJc w:val="left"/>
      <w:pPr>
        <w:ind w:left="1080" w:hanging="540"/>
      </w:pPr>
      <w:rPr>
        <w:rFonts w:hint="default"/>
        <w:b/>
        <w:i w:val="0"/>
      </w:rPr>
    </w:lvl>
    <w:lvl w:ilvl="1">
      <w:start w:val="1"/>
      <w:numFmt w:val="decimalZero"/>
      <w:lvlText w:val="%1.%2"/>
      <w:lvlJc w:val="left"/>
      <w:pPr>
        <w:ind w:left="1800" w:hanging="540"/>
      </w:pPr>
      <w:rPr>
        <w:rFonts w:hint="default"/>
        <w:b/>
        <w:i w:val="0"/>
      </w:rPr>
    </w:lvl>
    <w:lvl w:ilvl="2">
      <w:start w:val="1"/>
      <w:numFmt w:val="decimal"/>
      <w:lvlText w:val="%1.%2.%3"/>
      <w:lvlJc w:val="left"/>
      <w:pPr>
        <w:ind w:left="2700" w:hanging="720"/>
      </w:pPr>
      <w:rPr>
        <w:rFonts w:hint="default"/>
        <w:b/>
        <w:i w:val="0"/>
      </w:rPr>
    </w:lvl>
    <w:lvl w:ilvl="3">
      <w:start w:val="1"/>
      <w:numFmt w:val="decimal"/>
      <w:lvlText w:val="%1.%2.%3.%4"/>
      <w:lvlJc w:val="left"/>
      <w:pPr>
        <w:ind w:left="3420" w:hanging="720"/>
      </w:pPr>
      <w:rPr>
        <w:rFonts w:hint="default"/>
        <w:b/>
        <w:i w:val="0"/>
      </w:rPr>
    </w:lvl>
    <w:lvl w:ilvl="4">
      <w:start w:val="1"/>
      <w:numFmt w:val="decimal"/>
      <w:lvlText w:val="%1.%2.%3.%4.%5"/>
      <w:lvlJc w:val="left"/>
      <w:pPr>
        <w:ind w:left="4500" w:hanging="1080"/>
      </w:pPr>
      <w:rPr>
        <w:rFonts w:hint="default"/>
        <w:b/>
        <w:i w:val="0"/>
      </w:rPr>
    </w:lvl>
    <w:lvl w:ilvl="5">
      <w:start w:val="1"/>
      <w:numFmt w:val="decimal"/>
      <w:lvlText w:val="%1.%2.%3.%4.%5.%6"/>
      <w:lvlJc w:val="left"/>
      <w:pPr>
        <w:ind w:left="5220" w:hanging="1080"/>
      </w:pPr>
      <w:rPr>
        <w:rFonts w:hint="default"/>
        <w:b/>
        <w:i w:val="0"/>
      </w:rPr>
    </w:lvl>
    <w:lvl w:ilvl="6">
      <w:start w:val="1"/>
      <w:numFmt w:val="decimal"/>
      <w:lvlText w:val="%1.%2.%3.%4.%5.%6.%7"/>
      <w:lvlJc w:val="left"/>
      <w:pPr>
        <w:ind w:left="6300" w:hanging="1440"/>
      </w:pPr>
      <w:rPr>
        <w:rFonts w:hint="default"/>
        <w:b/>
        <w:i w:val="0"/>
      </w:rPr>
    </w:lvl>
    <w:lvl w:ilvl="7">
      <w:start w:val="1"/>
      <w:numFmt w:val="decimal"/>
      <w:lvlText w:val="%1.%2.%3.%4.%5.%6.%7.%8"/>
      <w:lvlJc w:val="left"/>
      <w:pPr>
        <w:ind w:left="7020" w:hanging="1440"/>
      </w:pPr>
      <w:rPr>
        <w:rFonts w:hint="default"/>
        <w:b/>
        <w:i w:val="0"/>
      </w:rPr>
    </w:lvl>
    <w:lvl w:ilvl="8">
      <w:start w:val="1"/>
      <w:numFmt w:val="decimal"/>
      <w:lvlText w:val="%1.%2.%3.%4.%5.%6.%7.%8.%9"/>
      <w:lvlJc w:val="left"/>
      <w:pPr>
        <w:ind w:left="8100" w:hanging="1800"/>
      </w:pPr>
      <w:rPr>
        <w:rFonts w:hint="default"/>
        <w:b/>
        <w:i w:val="0"/>
      </w:rPr>
    </w:lvl>
  </w:abstractNum>
  <w:abstractNum w:abstractNumId="26" w15:restartNumberingAfterBreak="0">
    <w:nsid w:val="79F27A6C"/>
    <w:multiLevelType w:val="hybridMultilevel"/>
    <w:tmpl w:val="A560B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
  </w:num>
  <w:num w:numId="4">
    <w:abstractNumId w:val="3"/>
  </w:num>
  <w:num w:numId="5">
    <w:abstractNumId w:val="7"/>
  </w:num>
  <w:num w:numId="6">
    <w:abstractNumId w:val="17"/>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8"/>
  </w:num>
  <w:num w:numId="10">
    <w:abstractNumId w:val="15"/>
  </w:num>
  <w:num w:numId="11">
    <w:abstractNumId w:val="2"/>
  </w:num>
  <w:num w:numId="12">
    <w:abstractNumId w:val="5"/>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4"/>
  </w:num>
  <w:num w:numId="16">
    <w:abstractNumId w:val="10"/>
  </w:num>
  <w:num w:numId="17">
    <w:abstractNumId w:val="16"/>
  </w:num>
  <w:num w:numId="18">
    <w:abstractNumId w:val="25"/>
  </w:num>
  <w:num w:numId="19">
    <w:abstractNumId w:val="22"/>
  </w:num>
  <w:num w:numId="20">
    <w:abstractNumId w:val="4"/>
  </w:num>
  <w:num w:numId="21">
    <w:abstractNumId w:val="0"/>
  </w:num>
  <w:num w:numId="22">
    <w:abstractNumId w:val="19"/>
  </w:num>
  <w:num w:numId="23">
    <w:abstractNumId w:val="20"/>
  </w:num>
  <w:num w:numId="24">
    <w:abstractNumId w:val="8"/>
  </w:num>
  <w:num w:numId="25">
    <w:abstractNumId w:val="6"/>
  </w:num>
  <w:num w:numId="26">
    <w:abstractNumId w:val="24"/>
  </w:num>
  <w:num w:numId="27">
    <w:abstractNumId w:val="23"/>
  </w:num>
  <w:num w:numId="28">
    <w:abstractNumId w:val="26"/>
  </w:num>
  <w:num w:numId="2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2E"/>
    <w:rsid w:val="000004FA"/>
    <w:rsid w:val="000162F2"/>
    <w:rsid w:val="00023732"/>
    <w:rsid w:val="00027709"/>
    <w:rsid w:val="0003211A"/>
    <w:rsid w:val="0003752E"/>
    <w:rsid w:val="00041202"/>
    <w:rsid w:val="00042655"/>
    <w:rsid w:val="000451F7"/>
    <w:rsid w:val="00047411"/>
    <w:rsid w:val="00051841"/>
    <w:rsid w:val="000526DF"/>
    <w:rsid w:val="00057FBD"/>
    <w:rsid w:val="000624BC"/>
    <w:rsid w:val="00065CE0"/>
    <w:rsid w:val="000710C4"/>
    <w:rsid w:val="00072E31"/>
    <w:rsid w:val="000741EC"/>
    <w:rsid w:val="000741F7"/>
    <w:rsid w:val="0007424C"/>
    <w:rsid w:val="000756E8"/>
    <w:rsid w:val="0007741D"/>
    <w:rsid w:val="00080B0D"/>
    <w:rsid w:val="00082872"/>
    <w:rsid w:val="00096E34"/>
    <w:rsid w:val="000A262E"/>
    <w:rsid w:val="000B2125"/>
    <w:rsid w:val="000B243F"/>
    <w:rsid w:val="000B41A7"/>
    <w:rsid w:val="000B643A"/>
    <w:rsid w:val="000B6E6C"/>
    <w:rsid w:val="000B71D1"/>
    <w:rsid w:val="000C0A74"/>
    <w:rsid w:val="000C7384"/>
    <w:rsid w:val="000D5989"/>
    <w:rsid w:val="000E3D60"/>
    <w:rsid w:val="000E4459"/>
    <w:rsid w:val="000F2FDE"/>
    <w:rsid w:val="000F5C0E"/>
    <w:rsid w:val="000F7AB1"/>
    <w:rsid w:val="00104B34"/>
    <w:rsid w:val="00105899"/>
    <w:rsid w:val="001069C4"/>
    <w:rsid w:val="00110A9D"/>
    <w:rsid w:val="00112A4F"/>
    <w:rsid w:val="001143CD"/>
    <w:rsid w:val="0011468B"/>
    <w:rsid w:val="00114851"/>
    <w:rsid w:val="00123096"/>
    <w:rsid w:val="00127202"/>
    <w:rsid w:val="00127C92"/>
    <w:rsid w:val="0014171F"/>
    <w:rsid w:val="00141AFC"/>
    <w:rsid w:val="00142E2B"/>
    <w:rsid w:val="00143EDD"/>
    <w:rsid w:val="00143F68"/>
    <w:rsid w:val="00144486"/>
    <w:rsid w:val="00155B31"/>
    <w:rsid w:val="00156262"/>
    <w:rsid w:val="00157738"/>
    <w:rsid w:val="00162772"/>
    <w:rsid w:val="001708BE"/>
    <w:rsid w:val="001714AB"/>
    <w:rsid w:val="00172926"/>
    <w:rsid w:val="0017625D"/>
    <w:rsid w:val="00176B13"/>
    <w:rsid w:val="00176DB8"/>
    <w:rsid w:val="001A54BA"/>
    <w:rsid w:val="001B146D"/>
    <w:rsid w:val="001B3604"/>
    <w:rsid w:val="001C157A"/>
    <w:rsid w:val="001C59FE"/>
    <w:rsid w:val="001C5BCF"/>
    <w:rsid w:val="001D0ADC"/>
    <w:rsid w:val="001D3F51"/>
    <w:rsid w:val="001E0419"/>
    <w:rsid w:val="001E0FD1"/>
    <w:rsid w:val="001E1DE1"/>
    <w:rsid w:val="001E45C9"/>
    <w:rsid w:val="001E69D3"/>
    <w:rsid w:val="001E6BA7"/>
    <w:rsid w:val="001F6B0A"/>
    <w:rsid w:val="002017DE"/>
    <w:rsid w:val="0020377A"/>
    <w:rsid w:val="002040E7"/>
    <w:rsid w:val="002044D5"/>
    <w:rsid w:val="002106A9"/>
    <w:rsid w:val="00217BDF"/>
    <w:rsid w:val="00223D53"/>
    <w:rsid w:val="00243CA9"/>
    <w:rsid w:val="002531B1"/>
    <w:rsid w:val="00257E48"/>
    <w:rsid w:val="0026004C"/>
    <w:rsid w:val="00261FF4"/>
    <w:rsid w:val="0026387A"/>
    <w:rsid w:val="002654F9"/>
    <w:rsid w:val="00267C48"/>
    <w:rsid w:val="0027098F"/>
    <w:rsid w:val="002725C9"/>
    <w:rsid w:val="0027496A"/>
    <w:rsid w:val="0028700E"/>
    <w:rsid w:val="002928B8"/>
    <w:rsid w:val="00292FEC"/>
    <w:rsid w:val="002952E7"/>
    <w:rsid w:val="0029617E"/>
    <w:rsid w:val="00297B20"/>
    <w:rsid w:val="002A0809"/>
    <w:rsid w:val="002A3694"/>
    <w:rsid w:val="002A6DBC"/>
    <w:rsid w:val="002A7F80"/>
    <w:rsid w:val="002B0E6B"/>
    <w:rsid w:val="002B2B44"/>
    <w:rsid w:val="002B2F65"/>
    <w:rsid w:val="002C0CBF"/>
    <w:rsid w:val="002C1C38"/>
    <w:rsid w:val="002C427D"/>
    <w:rsid w:val="002C54B4"/>
    <w:rsid w:val="002C6F52"/>
    <w:rsid w:val="002D5B03"/>
    <w:rsid w:val="002D6380"/>
    <w:rsid w:val="002E40A4"/>
    <w:rsid w:val="002E423A"/>
    <w:rsid w:val="002E4686"/>
    <w:rsid w:val="002E683B"/>
    <w:rsid w:val="002E77B4"/>
    <w:rsid w:val="002F7131"/>
    <w:rsid w:val="00302FE2"/>
    <w:rsid w:val="00303F86"/>
    <w:rsid w:val="00304835"/>
    <w:rsid w:val="003079B0"/>
    <w:rsid w:val="0031335A"/>
    <w:rsid w:val="00313B5D"/>
    <w:rsid w:val="00317BD7"/>
    <w:rsid w:val="00321D8F"/>
    <w:rsid w:val="003260B6"/>
    <w:rsid w:val="00327D20"/>
    <w:rsid w:val="00327F17"/>
    <w:rsid w:val="00331F82"/>
    <w:rsid w:val="003342E2"/>
    <w:rsid w:val="0033502E"/>
    <w:rsid w:val="0034034B"/>
    <w:rsid w:val="0034098C"/>
    <w:rsid w:val="00342305"/>
    <w:rsid w:val="00343150"/>
    <w:rsid w:val="00352795"/>
    <w:rsid w:val="00367CB9"/>
    <w:rsid w:val="00371859"/>
    <w:rsid w:val="00374221"/>
    <w:rsid w:val="00375396"/>
    <w:rsid w:val="00384413"/>
    <w:rsid w:val="0038510F"/>
    <w:rsid w:val="00385F32"/>
    <w:rsid w:val="003968D2"/>
    <w:rsid w:val="003A3C66"/>
    <w:rsid w:val="003A7C33"/>
    <w:rsid w:val="003B06F4"/>
    <w:rsid w:val="003B47D9"/>
    <w:rsid w:val="003B54BF"/>
    <w:rsid w:val="003C1CA1"/>
    <w:rsid w:val="003C48A4"/>
    <w:rsid w:val="003C4DDE"/>
    <w:rsid w:val="003C5B5F"/>
    <w:rsid w:val="003D1D78"/>
    <w:rsid w:val="003D202D"/>
    <w:rsid w:val="003D572E"/>
    <w:rsid w:val="003D59BD"/>
    <w:rsid w:val="003E36FC"/>
    <w:rsid w:val="003E3A14"/>
    <w:rsid w:val="003E4AD4"/>
    <w:rsid w:val="003E6628"/>
    <w:rsid w:val="003F73D6"/>
    <w:rsid w:val="004028E6"/>
    <w:rsid w:val="00403441"/>
    <w:rsid w:val="00404074"/>
    <w:rsid w:val="00406DD5"/>
    <w:rsid w:val="004148B4"/>
    <w:rsid w:val="00423D53"/>
    <w:rsid w:val="004306AB"/>
    <w:rsid w:val="00431538"/>
    <w:rsid w:val="00434DA4"/>
    <w:rsid w:val="00435078"/>
    <w:rsid w:val="004417FB"/>
    <w:rsid w:val="00447415"/>
    <w:rsid w:val="004503B6"/>
    <w:rsid w:val="00451033"/>
    <w:rsid w:val="00452271"/>
    <w:rsid w:val="00454E42"/>
    <w:rsid w:val="004609EB"/>
    <w:rsid w:val="00461489"/>
    <w:rsid w:val="00462D23"/>
    <w:rsid w:val="0046447F"/>
    <w:rsid w:val="0046555D"/>
    <w:rsid w:val="00470C82"/>
    <w:rsid w:val="00473923"/>
    <w:rsid w:val="00474CF7"/>
    <w:rsid w:val="00477B27"/>
    <w:rsid w:val="00480A49"/>
    <w:rsid w:val="0048175C"/>
    <w:rsid w:val="0048486F"/>
    <w:rsid w:val="00485359"/>
    <w:rsid w:val="00486056"/>
    <w:rsid w:val="0048693E"/>
    <w:rsid w:val="00490E20"/>
    <w:rsid w:val="0049133E"/>
    <w:rsid w:val="00493CF0"/>
    <w:rsid w:val="004943DE"/>
    <w:rsid w:val="00496A00"/>
    <w:rsid w:val="00496B7D"/>
    <w:rsid w:val="00497F58"/>
    <w:rsid w:val="004A0B40"/>
    <w:rsid w:val="004A2BC2"/>
    <w:rsid w:val="004A69F0"/>
    <w:rsid w:val="004B2AB6"/>
    <w:rsid w:val="004B47A2"/>
    <w:rsid w:val="004B4C6C"/>
    <w:rsid w:val="004C01D6"/>
    <w:rsid w:val="004D1FEB"/>
    <w:rsid w:val="004D6C14"/>
    <w:rsid w:val="004E1745"/>
    <w:rsid w:val="004E194D"/>
    <w:rsid w:val="004F3A65"/>
    <w:rsid w:val="004F7294"/>
    <w:rsid w:val="004F73FE"/>
    <w:rsid w:val="0051244D"/>
    <w:rsid w:val="00512E70"/>
    <w:rsid w:val="005132F8"/>
    <w:rsid w:val="005206D1"/>
    <w:rsid w:val="00522FB2"/>
    <w:rsid w:val="00524476"/>
    <w:rsid w:val="00524CEF"/>
    <w:rsid w:val="00527702"/>
    <w:rsid w:val="00532FC0"/>
    <w:rsid w:val="00533BD9"/>
    <w:rsid w:val="00533C27"/>
    <w:rsid w:val="00533E77"/>
    <w:rsid w:val="00534F7D"/>
    <w:rsid w:val="00536357"/>
    <w:rsid w:val="00536E84"/>
    <w:rsid w:val="00540C42"/>
    <w:rsid w:val="00547047"/>
    <w:rsid w:val="005517CC"/>
    <w:rsid w:val="00551AA7"/>
    <w:rsid w:val="00553D3D"/>
    <w:rsid w:val="00557AA6"/>
    <w:rsid w:val="00557B78"/>
    <w:rsid w:val="00560B59"/>
    <w:rsid w:val="00574675"/>
    <w:rsid w:val="005975F1"/>
    <w:rsid w:val="005A2AFD"/>
    <w:rsid w:val="005A3514"/>
    <w:rsid w:val="005A5D71"/>
    <w:rsid w:val="005A62A3"/>
    <w:rsid w:val="005A6D9C"/>
    <w:rsid w:val="005B15EC"/>
    <w:rsid w:val="005B7820"/>
    <w:rsid w:val="005C3205"/>
    <w:rsid w:val="005C7FB3"/>
    <w:rsid w:val="005D0DD5"/>
    <w:rsid w:val="005D312C"/>
    <w:rsid w:val="005D5FD4"/>
    <w:rsid w:val="005E2054"/>
    <w:rsid w:val="005E33A9"/>
    <w:rsid w:val="005E563C"/>
    <w:rsid w:val="005E7786"/>
    <w:rsid w:val="005F4178"/>
    <w:rsid w:val="0060442C"/>
    <w:rsid w:val="00606ADA"/>
    <w:rsid w:val="0060715C"/>
    <w:rsid w:val="00611945"/>
    <w:rsid w:val="006129DA"/>
    <w:rsid w:val="00617C14"/>
    <w:rsid w:val="0062428B"/>
    <w:rsid w:val="006252E9"/>
    <w:rsid w:val="00630206"/>
    <w:rsid w:val="006329E9"/>
    <w:rsid w:val="00640B1B"/>
    <w:rsid w:val="00641791"/>
    <w:rsid w:val="00651F8A"/>
    <w:rsid w:val="00660C69"/>
    <w:rsid w:val="00671675"/>
    <w:rsid w:val="006739B4"/>
    <w:rsid w:val="00675D33"/>
    <w:rsid w:val="00677F79"/>
    <w:rsid w:val="0068003C"/>
    <w:rsid w:val="00681470"/>
    <w:rsid w:val="00686A53"/>
    <w:rsid w:val="006A2C24"/>
    <w:rsid w:val="006A30F8"/>
    <w:rsid w:val="006A42FC"/>
    <w:rsid w:val="006A586F"/>
    <w:rsid w:val="006B38F9"/>
    <w:rsid w:val="006B3E0E"/>
    <w:rsid w:val="006B4B63"/>
    <w:rsid w:val="006B6208"/>
    <w:rsid w:val="006C0FFD"/>
    <w:rsid w:val="006C248D"/>
    <w:rsid w:val="006D21DD"/>
    <w:rsid w:val="006D2512"/>
    <w:rsid w:val="006D4271"/>
    <w:rsid w:val="006D79CD"/>
    <w:rsid w:val="006E4248"/>
    <w:rsid w:val="006E5F73"/>
    <w:rsid w:val="006F11B5"/>
    <w:rsid w:val="006F62CC"/>
    <w:rsid w:val="007045F7"/>
    <w:rsid w:val="007051AF"/>
    <w:rsid w:val="00717EA3"/>
    <w:rsid w:val="00721B09"/>
    <w:rsid w:val="007237E3"/>
    <w:rsid w:val="007239BC"/>
    <w:rsid w:val="00724B82"/>
    <w:rsid w:val="00724CDE"/>
    <w:rsid w:val="00733869"/>
    <w:rsid w:val="00746FD6"/>
    <w:rsid w:val="00754D26"/>
    <w:rsid w:val="00757A57"/>
    <w:rsid w:val="00760C48"/>
    <w:rsid w:val="00762AF1"/>
    <w:rsid w:val="0076409A"/>
    <w:rsid w:val="007779BA"/>
    <w:rsid w:val="007808F0"/>
    <w:rsid w:val="007848DD"/>
    <w:rsid w:val="007855C5"/>
    <w:rsid w:val="00785E62"/>
    <w:rsid w:val="00790361"/>
    <w:rsid w:val="007913DC"/>
    <w:rsid w:val="00796355"/>
    <w:rsid w:val="00796539"/>
    <w:rsid w:val="007B12CA"/>
    <w:rsid w:val="007B1CA5"/>
    <w:rsid w:val="007B27DF"/>
    <w:rsid w:val="007B5B38"/>
    <w:rsid w:val="007C1485"/>
    <w:rsid w:val="007C1589"/>
    <w:rsid w:val="007D0325"/>
    <w:rsid w:val="007D3E6A"/>
    <w:rsid w:val="007D50CB"/>
    <w:rsid w:val="007E2533"/>
    <w:rsid w:val="007E26F5"/>
    <w:rsid w:val="007E3BAE"/>
    <w:rsid w:val="007E72E1"/>
    <w:rsid w:val="007E7E54"/>
    <w:rsid w:val="00801127"/>
    <w:rsid w:val="00811712"/>
    <w:rsid w:val="00812C30"/>
    <w:rsid w:val="00812DD4"/>
    <w:rsid w:val="00813B79"/>
    <w:rsid w:val="00816CA8"/>
    <w:rsid w:val="00820263"/>
    <w:rsid w:val="00822783"/>
    <w:rsid w:val="00825B6E"/>
    <w:rsid w:val="00831B2B"/>
    <w:rsid w:val="00831C89"/>
    <w:rsid w:val="00834564"/>
    <w:rsid w:val="00842912"/>
    <w:rsid w:val="008436C9"/>
    <w:rsid w:val="00845B8C"/>
    <w:rsid w:val="008467D3"/>
    <w:rsid w:val="00852DC3"/>
    <w:rsid w:val="00853850"/>
    <w:rsid w:val="00855E77"/>
    <w:rsid w:val="0086051A"/>
    <w:rsid w:val="00860B94"/>
    <w:rsid w:val="008612AF"/>
    <w:rsid w:val="00864C13"/>
    <w:rsid w:val="00865E0D"/>
    <w:rsid w:val="00867DB7"/>
    <w:rsid w:val="0087369A"/>
    <w:rsid w:val="0088453F"/>
    <w:rsid w:val="00885F43"/>
    <w:rsid w:val="008957C3"/>
    <w:rsid w:val="008B104B"/>
    <w:rsid w:val="008B199A"/>
    <w:rsid w:val="008B3CE1"/>
    <w:rsid w:val="008B557C"/>
    <w:rsid w:val="008C0FF2"/>
    <w:rsid w:val="008C498B"/>
    <w:rsid w:val="008C4E41"/>
    <w:rsid w:val="008C5EBF"/>
    <w:rsid w:val="008D157F"/>
    <w:rsid w:val="008D357F"/>
    <w:rsid w:val="008E0577"/>
    <w:rsid w:val="008E1509"/>
    <w:rsid w:val="008E4F45"/>
    <w:rsid w:val="008F69F7"/>
    <w:rsid w:val="00901017"/>
    <w:rsid w:val="0090111A"/>
    <w:rsid w:val="009035CC"/>
    <w:rsid w:val="009113DC"/>
    <w:rsid w:val="00911668"/>
    <w:rsid w:val="00911A54"/>
    <w:rsid w:val="00912670"/>
    <w:rsid w:val="009243F7"/>
    <w:rsid w:val="00927F63"/>
    <w:rsid w:val="00931D33"/>
    <w:rsid w:val="00937068"/>
    <w:rsid w:val="0094124D"/>
    <w:rsid w:val="00944511"/>
    <w:rsid w:val="00944932"/>
    <w:rsid w:val="00947126"/>
    <w:rsid w:val="00950988"/>
    <w:rsid w:val="00952AB9"/>
    <w:rsid w:val="00954E16"/>
    <w:rsid w:val="00955134"/>
    <w:rsid w:val="009570C8"/>
    <w:rsid w:val="00967326"/>
    <w:rsid w:val="00967820"/>
    <w:rsid w:val="00972019"/>
    <w:rsid w:val="00973606"/>
    <w:rsid w:val="00973F4B"/>
    <w:rsid w:val="0098082E"/>
    <w:rsid w:val="00980AE8"/>
    <w:rsid w:val="0098220D"/>
    <w:rsid w:val="0098606F"/>
    <w:rsid w:val="009932B2"/>
    <w:rsid w:val="009968D1"/>
    <w:rsid w:val="009972AE"/>
    <w:rsid w:val="009A04B9"/>
    <w:rsid w:val="009A0ED5"/>
    <w:rsid w:val="009A2DA7"/>
    <w:rsid w:val="009B006C"/>
    <w:rsid w:val="009B4FEF"/>
    <w:rsid w:val="009B5CFC"/>
    <w:rsid w:val="009C07A3"/>
    <w:rsid w:val="009C398E"/>
    <w:rsid w:val="009D4742"/>
    <w:rsid w:val="009E4066"/>
    <w:rsid w:val="009E4CB6"/>
    <w:rsid w:val="009F04C1"/>
    <w:rsid w:val="00A00890"/>
    <w:rsid w:val="00A00BEE"/>
    <w:rsid w:val="00A06264"/>
    <w:rsid w:val="00A07CCE"/>
    <w:rsid w:val="00A07FD5"/>
    <w:rsid w:val="00A11AA7"/>
    <w:rsid w:val="00A2454E"/>
    <w:rsid w:val="00A27B71"/>
    <w:rsid w:val="00A27D46"/>
    <w:rsid w:val="00A32BC6"/>
    <w:rsid w:val="00A33678"/>
    <w:rsid w:val="00A3667B"/>
    <w:rsid w:val="00A423D8"/>
    <w:rsid w:val="00A43BCC"/>
    <w:rsid w:val="00A47446"/>
    <w:rsid w:val="00A50241"/>
    <w:rsid w:val="00A5146E"/>
    <w:rsid w:val="00A527C5"/>
    <w:rsid w:val="00A5488D"/>
    <w:rsid w:val="00A57104"/>
    <w:rsid w:val="00A6000D"/>
    <w:rsid w:val="00A63F73"/>
    <w:rsid w:val="00A64201"/>
    <w:rsid w:val="00A64BA8"/>
    <w:rsid w:val="00A73D02"/>
    <w:rsid w:val="00A82736"/>
    <w:rsid w:val="00A85BA7"/>
    <w:rsid w:val="00A87078"/>
    <w:rsid w:val="00A91575"/>
    <w:rsid w:val="00A95684"/>
    <w:rsid w:val="00AB1B2E"/>
    <w:rsid w:val="00AB1BA8"/>
    <w:rsid w:val="00AB6266"/>
    <w:rsid w:val="00AB7EDF"/>
    <w:rsid w:val="00AD0B47"/>
    <w:rsid w:val="00AD5A16"/>
    <w:rsid w:val="00AD7A4D"/>
    <w:rsid w:val="00AE11ED"/>
    <w:rsid w:val="00AE41F1"/>
    <w:rsid w:val="00AE74EE"/>
    <w:rsid w:val="00AF1A86"/>
    <w:rsid w:val="00AF28E0"/>
    <w:rsid w:val="00AF2E7E"/>
    <w:rsid w:val="00B06731"/>
    <w:rsid w:val="00B113B3"/>
    <w:rsid w:val="00B2083D"/>
    <w:rsid w:val="00B31C7B"/>
    <w:rsid w:val="00B328ED"/>
    <w:rsid w:val="00B35EDA"/>
    <w:rsid w:val="00B41A06"/>
    <w:rsid w:val="00B42DB4"/>
    <w:rsid w:val="00B43385"/>
    <w:rsid w:val="00B51DE8"/>
    <w:rsid w:val="00B57FB0"/>
    <w:rsid w:val="00B604C6"/>
    <w:rsid w:val="00B610B0"/>
    <w:rsid w:val="00B614A8"/>
    <w:rsid w:val="00B74210"/>
    <w:rsid w:val="00B7494C"/>
    <w:rsid w:val="00B75DCD"/>
    <w:rsid w:val="00B76AE8"/>
    <w:rsid w:val="00B85397"/>
    <w:rsid w:val="00B950F0"/>
    <w:rsid w:val="00BA3ECC"/>
    <w:rsid w:val="00BA74C9"/>
    <w:rsid w:val="00BA7845"/>
    <w:rsid w:val="00BB00D2"/>
    <w:rsid w:val="00BB0EDD"/>
    <w:rsid w:val="00BB23A2"/>
    <w:rsid w:val="00BB2858"/>
    <w:rsid w:val="00BB3052"/>
    <w:rsid w:val="00BB586B"/>
    <w:rsid w:val="00BB7896"/>
    <w:rsid w:val="00BB7C35"/>
    <w:rsid w:val="00BC02A7"/>
    <w:rsid w:val="00BC34E2"/>
    <w:rsid w:val="00BC491C"/>
    <w:rsid w:val="00BC62F5"/>
    <w:rsid w:val="00BD4ADD"/>
    <w:rsid w:val="00BD6125"/>
    <w:rsid w:val="00BE1A84"/>
    <w:rsid w:val="00BF02AF"/>
    <w:rsid w:val="00C00807"/>
    <w:rsid w:val="00C07CBE"/>
    <w:rsid w:val="00C1042F"/>
    <w:rsid w:val="00C1419F"/>
    <w:rsid w:val="00C1611E"/>
    <w:rsid w:val="00C23273"/>
    <w:rsid w:val="00C27AD7"/>
    <w:rsid w:val="00C30E3A"/>
    <w:rsid w:val="00C35547"/>
    <w:rsid w:val="00C359F1"/>
    <w:rsid w:val="00C400B4"/>
    <w:rsid w:val="00C404FB"/>
    <w:rsid w:val="00C42D01"/>
    <w:rsid w:val="00C50335"/>
    <w:rsid w:val="00C518BD"/>
    <w:rsid w:val="00C5198D"/>
    <w:rsid w:val="00C57646"/>
    <w:rsid w:val="00C60FB8"/>
    <w:rsid w:val="00C64E66"/>
    <w:rsid w:val="00C6571D"/>
    <w:rsid w:val="00C673D1"/>
    <w:rsid w:val="00C67712"/>
    <w:rsid w:val="00C710DC"/>
    <w:rsid w:val="00C75A7E"/>
    <w:rsid w:val="00C81329"/>
    <w:rsid w:val="00C83370"/>
    <w:rsid w:val="00C8365A"/>
    <w:rsid w:val="00C860FF"/>
    <w:rsid w:val="00C91AEA"/>
    <w:rsid w:val="00C91C4D"/>
    <w:rsid w:val="00C91D7B"/>
    <w:rsid w:val="00C93197"/>
    <w:rsid w:val="00CA1825"/>
    <w:rsid w:val="00CA41FF"/>
    <w:rsid w:val="00CA6D13"/>
    <w:rsid w:val="00CC325C"/>
    <w:rsid w:val="00CC47DF"/>
    <w:rsid w:val="00CC5BCC"/>
    <w:rsid w:val="00CD24DF"/>
    <w:rsid w:val="00CE6CE9"/>
    <w:rsid w:val="00CE7EBC"/>
    <w:rsid w:val="00CF3C9F"/>
    <w:rsid w:val="00CF6E34"/>
    <w:rsid w:val="00D00115"/>
    <w:rsid w:val="00D109C2"/>
    <w:rsid w:val="00D117F7"/>
    <w:rsid w:val="00D14614"/>
    <w:rsid w:val="00D17D13"/>
    <w:rsid w:val="00D20497"/>
    <w:rsid w:val="00D209EB"/>
    <w:rsid w:val="00D21C58"/>
    <w:rsid w:val="00D259E5"/>
    <w:rsid w:val="00D261A2"/>
    <w:rsid w:val="00D271F1"/>
    <w:rsid w:val="00D3065D"/>
    <w:rsid w:val="00D32304"/>
    <w:rsid w:val="00D33D8B"/>
    <w:rsid w:val="00D35F19"/>
    <w:rsid w:val="00D36376"/>
    <w:rsid w:val="00D545CB"/>
    <w:rsid w:val="00D56606"/>
    <w:rsid w:val="00D70D22"/>
    <w:rsid w:val="00D84D9F"/>
    <w:rsid w:val="00D877F5"/>
    <w:rsid w:val="00D950F3"/>
    <w:rsid w:val="00DA0C37"/>
    <w:rsid w:val="00DA31BA"/>
    <w:rsid w:val="00DA4672"/>
    <w:rsid w:val="00DA7BC7"/>
    <w:rsid w:val="00DB4D96"/>
    <w:rsid w:val="00DC3BB2"/>
    <w:rsid w:val="00DD7620"/>
    <w:rsid w:val="00DD7C49"/>
    <w:rsid w:val="00DF200F"/>
    <w:rsid w:val="00DF2A50"/>
    <w:rsid w:val="00DF3E5C"/>
    <w:rsid w:val="00E019B1"/>
    <w:rsid w:val="00E0220B"/>
    <w:rsid w:val="00E02F99"/>
    <w:rsid w:val="00E03C3B"/>
    <w:rsid w:val="00E047C1"/>
    <w:rsid w:val="00E06906"/>
    <w:rsid w:val="00E0692E"/>
    <w:rsid w:val="00E12782"/>
    <w:rsid w:val="00E15B94"/>
    <w:rsid w:val="00E22248"/>
    <w:rsid w:val="00E23F22"/>
    <w:rsid w:val="00E2560E"/>
    <w:rsid w:val="00E25C67"/>
    <w:rsid w:val="00E27B57"/>
    <w:rsid w:val="00E30049"/>
    <w:rsid w:val="00E40C30"/>
    <w:rsid w:val="00E42289"/>
    <w:rsid w:val="00E43E79"/>
    <w:rsid w:val="00E51364"/>
    <w:rsid w:val="00E51755"/>
    <w:rsid w:val="00E561C0"/>
    <w:rsid w:val="00E5622E"/>
    <w:rsid w:val="00E60099"/>
    <w:rsid w:val="00E6255D"/>
    <w:rsid w:val="00E62BE1"/>
    <w:rsid w:val="00E6541A"/>
    <w:rsid w:val="00E90F32"/>
    <w:rsid w:val="00EA15D6"/>
    <w:rsid w:val="00EA35EC"/>
    <w:rsid w:val="00EA59C0"/>
    <w:rsid w:val="00EA6E51"/>
    <w:rsid w:val="00EB1D2B"/>
    <w:rsid w:val="00EB784A"/>
    <w:rsid w:val="00EB7EE0"/>
    <w:rsid w:val="00EC1E19"/>
    <w:rsid w:val="00EC52DC"/>
    <w:rsid w:val="00ED260F"/>
    <w:rsid w:val="00ED3F66"/>
    <w:rsid w:val="00EE47A6"/>
    <w:rsid w:val="00EE53C7"/>
    <w:rsid w:val="00EE70FF"/>
    <w:rsid w:val="00EF02A7"/>
    <w:rsid w:val="00EF5037"/>
    <w:rsid w:val="00F008E5"/>
    <w:rsid w:val="00F00F43"/>
    <w:rsid w:val="00F027EC"/>
    <w:rsid w:val="00F11547"/>
    <w:rsid w:val="00F14ABA"/>
    <w:rsid w:val="00F208A2"/>
    <w:rsid w:val="00F2268E"/>
    <w:rsid w:val="00F226AF"/>
    <w:rsid w:val="00F2457B"/>
    <w:rsid w:val="00F250C0"/>
    <w:rsid w:val="00F2631E"/>
    <w:rsid w:val="00F32332"/>
    <w:rsid w:val="00F34C99"/>
    <w:rsid w:val="00F374A4"/>
    <w:rsid w:val="00F420AB"/>
    <w:rsid w:val="00F44E0B"/>
    <w:rsid w:val="00F44E0D"/>
    <w:rsid w:val="00F50DF2"/>
    <w:rsid w:val="00F63483"/>
    <w:rsid w:val="00F658C1"/>
    <w:rsid w:val="00F7010D"/>
    <w:rsid w:val="00F727D8"/>
    <w:rsid w:val="00F72978"/>
    <w:rsid w:val="00F74D15"/>
    <w:rsid w:val="00F82907"/>
    <w:rsid w:val="00F83B21"/>
    <w:rsid w:val="00F90D30"/>
    <w:rsid w:val="00F91B43"/>
    <w:rsid w:val="00F948C4"/>
    <w:rsid w:val="00F9696C"/>
    <w:rsid w:val="00FA6F5B"/>
    <w:rsid w:val="00FB560F"/>
    <w:rsid w:val="00FB61E6"/>
    <w:rsid w:val="00FC0583"/>
    <w:rsid w:val="00FC5164"/>
    <w:rsid w:val="00FC60B3"/>
    <w:rsid w:val="00FC69C8"/>
    <w:rsid w:val="00FC7AB9"/>
    <w:rsid w:val="00FD1D98"/>
    <w:rsid w:val="00FD1EF3"/>
    <w:rsid w:val="00FD4185"/>
    <w:rsid w:val="00FE1E21"/>
    <w:rsid w:val="00FE50ED"/>
    <w:rsid w:val="00FE76EB"/>
    <w:rsid w:val="00FF79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6B8912"/>
  <w15:docId w15:val="{A4FB94C4-3D1F-498E-9E22-B363B2D08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83D"/>
    <w:rPr>
      <w:sz w:val="24"/>
      <w:szCs w:val="24"/>
      <w:lang w:val="it-IT" w:eastAsia="it-IT"/>
    </w:rPr>
  </w:style>
  <w:style w:type="paragraph" w:styleId="Heading1">
    <w:name w:val="heading 1"/>
    <w:basedOn w:val="Normal"/>
    <w:next w:val="Normal"/>
    <w:link w:val="Heading1Char"/>
    <w:uiPriority w:val="9"/>
    <w:qFormat/>
    <w:rsid w:val="00313B5D"/>
    <w:pPr>
      <w:keepNext/>
      <w:keepLines/>
      <w:spacing w:before="480"/>
      <w:outlineLvl w:val="0"/>
    </w:pPr>
    <w:rPr>
      <w:rFonts w:asciiTheme="majorHAnsi" w:eastAsiaTheme="majorEastAsia" w:hAnsiTheme="majorHAnsi" w:cstheme="majorBidi"/>
      <w:b/>
      <w:bCs/>
      <w:color w:val="000000" w:themeColor="text1"/>
      <w:szCs w:val="32"/>
    </w:rPr>
  </w:style>
  <w:style w:type="paragraph" w:styleId="Heading2">
    <w:name w:val="heading 2"/>
    <w:basedOn w:val="Normal"/>
    <w:next w:val="Normal"/>
    <w:link w:val="Heading2Char"/>
    <w:uiPriority w:val="9"/>
    <w:unhideWhenUsed/>
    <w:qFormat/>
    <w:rsid w:val="0086051A"/>
    <w:pPr>
      <w:keepNext/>
      <w:keepLines/>
      <w:spacing w:before="200"/>
      <w:outlineLvl w:val="1"/>
    </w:pPr>
    <w:rPr>
      <w:rFonts w:asciiTheme="majorHAnsi" w:eastAsiaTheme="majorEastAsia" w:hAnsiTheme="majorHAnsi" w:cstheme="majorBidi"/>
      <w:bCs/>
      <w:i/>
      <w:color w:val="000000" w:themeColor="text1"/>
      <w:szCs w:val="26"/>
    </w:rPr>
  </w:style>
  <w:style w:type="paragraph" w:styleId="Heading4">
    <w:name w:val="heading 4"/>
    <w:basedOn w:val="Normal"/>
    <w:link w:val="Heading4Char"/>
    <w:uiPriority w:val="9"/>
    <w:qFormat/>
    <w:rsid w:val="00143F68"/>
    <w:pPr>
      <w:spacing w:before="100" w:beforeAutospacing="1" w:after="100" w:afterAutospacing="1"/>
      <w:outlineLvl w:val="3"/>
    </w:pPr>
    <w:rPr>
      <w:b/>
      <w:bCs/>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B27DF"/>
    <w:rPr>
      <w:rFonts w:ascii="Tahoma" w:hAnsi="Tahoma" w:cs="Tahoma"/>
      <w:sz w:val="16"/>
      <w:szCs w:val="16"/>
    </w:rPr>
  </w:style>
  <w:style w:type="paragraph" w:styleId="Header">
    <w:name w:val="header"/>
    <w:basedOn w:val="Normal"/>
    <w:rsid w:val="007B27DF"/>
    <w:pPr>
      <w:tabs>
        <w:tab w:val="center" w:pos="4320"/>
        <w:tab w:val="right" w:pos="8640"/>
      </w:tabs>
    </w:pPr>
  </w:style>
  <w:style w:type="paragraph" w:styleId="Footer">
    <w:name w:val="footer"/>
    <w:basedOn w:val="Normal"/>
    <w:rsid w:val="007B27DF"/>
    <w:pPr>
      <w:tabs>
        <w:tab w:val="center" w:pos="4320"/>
        <w:tab w:val="right" w:pos="8640"/>
      </w:tabs>
    </w:pPr>
  </w:style>
  <w:style w:type="character" w:styleId="PageNumber">
    <w:name w:val="page number"/>
    <w:basedOn w:val="DefaultParagraphFont"/>
    <w:rsid w:val="007B27DF"/>
  </w:style>
  <w:style w:type="paragraph" w:styleId="BodyTextIndent">
    <w:name w:val="Body Text Indent"/>
    <w:basedOn w:val="Normal"/>
    <w:link w:val="BodyTextIndentChar"/>
    <w:rsid w:val="00B2083D"/>
    <w:pPr>
      <w:ind w:left="2880" w:hanging="2880"/>
    </w:pPr>
    <w:rPr>
      <w:b/>
      <w:lang w:val="en-GB"/>
    </w:rPr>
  </w:style>
  <w:style w:type="paragraph" w:customStyle="1" w:styleId="CharCharChar">
    <w:name w:val="Char Char Char"/>
    <w:basedOn w:val="Normal"/>
    <w:rsid w:val="00D261A2"/>
    <w:pPr>
      <w:spacing w:after="160" w:line="240" w:lineRule="exact"/>
    </w:pPr>
    <w:rPr>
      <w:rFonts w:ascii="Tahoma" w:hAnsi="Tahoma"/>
      <w:sz w:val="20"/>
      <w:szCs w:val="20"/>
      <w:lang w:val="en-US" w:eastAsia="en-US"/>
    </w:rPr>
  </w:style>
  <w:style w:type="character" w:styleId="CommentReference">
    <w:name w:val="annotation reference"/>
    <w:basedOn w:val="DefaultParagraphFont"/>
    <w:semiHidden/>
    <w:rsid w:val="00CA6D13"/>
    <w:rPr>
      <w:sz w:val="16"/>
      <w:szCs w:val="16"/>
    </w:rPr>
  </w:style>
  <w:style w:type="paragraph" w:styleId="CommentText">
    <w:name w:val="annotation text"/>
    <w:basedOn w:val="Normal"/>
    <w:semiHidden/>
    <w:rsid w:val="00CA6D13"/>
    <w:rPr>
      <w:sz w:val="20"/>
      <w:szCs w:val="20"/>
    </w:rPr>
  </w:style>
  <w:style w:type="paragraph" w:styleId="CommentSubject">
    <w:name w:val="annotation subject"/>
    <w:basedOn w:val="CommentText"/>
    <w:next w:val="CommentText"/>
    <w:semiHidden/>
    <w:rsid w:val="00CA6D13"/>
    <w:rPr>
      <w:b/>
      <w:bCs/>
    </w:rPr>
  </w:style>
  <w:style w:type="character" w:customStyle="1" w:styleId="BodyTextIndentChar">
    <w:name w:val="Body Text Indent Char"/>
    <w:basedOn w:val="DefaultParagraphFont"/>
    <w:link w:val="BodyTextIndent"/>
    <w:rsid w:val="004D6C14"/>
    <w:rPr>
      <w:b/>
      <w:sz w:val="24"/>
      <w:szCs w:val="24"/>
      <w:lang w:val="en-GB" w:eastAsia="it-IT"/>
    </w:rPr>
  </w:style>
  <w:style w:type="paragraph" w:customStyle="1" w:styleId="Default">
    <w:name w:val="Default"/>
    <w:rsid w:val="00AD7A4D"/>
    <w:pPr>
      <w:autoSpaceDE w:val="0"/>
      <w:autoSpaceDN w:val="0"/>
      <w:adjustRightInd w:val="0"/>
    </w:pPr>
    <w:rPr>
      <w:color w:val="000000"/>
      <w:sz w:val="24"/>
      <w:szCs w:val="24"/>
      <w:lang w:eastAsia="en-GB"/>
    </w:rPr>
  </w:style>
  <w:style w:type="paragraph" w:styleId="ListParagraph">
    <w:name w:val="List Paragraph"/>
    <w:basedOn w:val="Normal"/>
    <w:uiPriority w:val="34"/>
    <w:qFormat/>
    <w:rsid w:val="00AD7A4D"/>
    <w:pPr>
      <w:spacing w:after="200" w:line="276" w:lineRule="auto"/>
      <w:ind w:left="720"/>
      <w:contextualSpacing/>
    </w:pPr>
    <w:rPr>
      <w:rFonts w:eastAsia="Calibri"/>
      <w:szCs w:val="22"/>
      <w:lang w:val="en-US" w:eastAsia="en-US"/>
    </w:rPr>
  </w:style>
  <w:style w:type="paragraph" w:customStyle="1" w:styleId="ListParagraph1">
    <w:name w:val="List Paragraph1"/>
    <w:basedOn w:val="Normal"/>
    <w:rsid w:val="00BD6125"/>
    <w:pPr>
      <w:spacing w:after="120" w:line="276" w:lineRule="auto"/>
      <w:ind w:left="720"/>
    </w:pPr>
    <w:rPr>
      <w:rFonts w:ascii="Arial" w:eastAsia="Calibri" w:hAnsi="Arial" w:cs="Arial"/>
      <w:color w:val="000000"/>
      <w:lang w:val="en-US" w:eastAsia="en-US"/>
    </w:rPr>
  </w:style>
  <w:style w:type="paragraph" w:styleId="Revision">
    <w:name w:val="Revision"/>
    <w:hidden/>
    <w:uiPriority w:val="99"/>
    <w:semiHidden/>
    <w:rsid w:val="00303F86"/>
    <w:rPr>
      <w:sz w:val="24"/>
      <w:szCs w:val="24"/>
      <w:lang w:val="it-IT" w:eastAsia="it-IT"/>
    </w:rPr>
  </w:style>
  <w:style w:type="paragraph" w:styleId="PlainText">
    <w:name w:val="Plain Text"/>
    <w:basedOn w:val="Normal"/>
    <w:link w:val="PlainTextChar"/>
    <w:uiPriority w:val="99"/>
    <w:unhideWhenUsed/>
    <w:rsid w:val="00867DB7"/>
    <w:rPr>
      <w:rFonts w:ascii="Consolas" w:eastAsiaTheme="minorHAnsi" w:hAnsi="Consolas" w:cstheme="minorBidi"/>
      <w:sz w:val="21"/>
      <w:szCs w:val="21"/>
      <w:lang w:val="en-US" w:eastAsia="en-US"/>
    </w:rPr>
  </w:style>
  <w:style w:type="character" w:customStyle="1" w:styleId="PlainTextChar">
    <w:name w:val="Plain Text Char"/>
    <w:basedOn w:val="DefaultParagraphFont"/>
    <w:link w:val="PlainText"/>
    <w:uiPriority w:val="99"/>
    <w:rsid w:val="00867DB7"/>
    <w:rPr>
      <w:rFonts w:ascii="Consolas" w:eastAsiaTheme="minorHAnsi" w:hAnsi="Consolas" w:cstheme="minorBidi"/>
      <w:sz w:val="21"/>
      <w:szCs w:val="21"/>
    </w:rPr>
  </w:style>
  <w:style w:type="paragraph" w:styleId="NormalWeb">
    <w:name w:val="Normal (Web)"/>
    <w:basedOn w:val="Normal"/>
    <w:uiPriority w:val="99"/>
    <w:rsid w:val="006C248D"/>
    <w:pPr>
      <w:spacing w:before="100" w:beforeAutospacing="1" w:after="100" w:afterAutospacing="1"/>
    </w:pPr>
    <w:rPr>
      <w:lang w:val="en-GB" w:eastAsia="en-GB"/>
    </w:rPr>
  </w:style>
  <w:style w:type="character" w:customStyle="1" w:styleId="Heading4Char">
    <w:name w:val="Heading 4 Char"/>
    <w:basedOn w:val="DefaultParagraphFont"/>
    <w:link w:val="Heading4"/>
    <w:uiPriority w:val="9"/>
    <w:rsid w:val="00143F68"/>
    <w:rPr>
      <w:b/>
      <w:bCs/>
      <w:sz w:val="24"/>
      <w:szCs w:val="24"/>
      <w:lang w:val="de-DE" w:eastAsia="de-DE"/>
    </w:rPr>
  </w:style>
  <w:style w:type="character" w:customStyle="1" w:styleId="Heading1Char">
    <w:name w:val="Heading 1 Char"/>
    <w:basedOn w:val="DefaultParagraphFont"/>
    <w:link w:val="Heading1"/>
    <w:uiPriority w:val="9"/>
    <w:rsid w:val="00313B5D"/>
    <w:rPr>
      <w:rFonts w:asciiTheme="majorHAnsi" w:eastAsiaTheme="majorEastAsia" w:hAnsiTheme="majorHAnsi" w:cstheme="majorBidi"/>
      <w:b/>
      <w:bCs/>
      <w:color w:val="000000" w:themeColor="text1"/>
      <w:sz w:val="24"/>
      <w:szCs w:val="32"/>
      <w:lang w:val="it-IT" w:eastAsia="it-IT"/>
    </w:rPr>
  </w:style>
  <w:style w:type="character" w:customStyle="1" w:styleId="Heading2Char">
    <w:name w:val="Heading 2 Char"/>
    <w:basedOn w:val="DefaultParagraphFont"/>
    <w:link w:val="Heading2"/>
    <w:uiPriority w:val="9"/>
    <w:rsid w:val="0086051A"/>
    <w:rPr>
      <w:rFonts w:asciiTheme="majorHAnsi" w:eastAsiaTheme="majorEastAsia" w:hAnsiTheme="majorHAnsi" w:cstheme="majorBidi"/>
      <w:bCs/>
      <w:i/>
      <w:color w:val="000000" w:themeColor="text1"/>
      <w:sz w:val="24"/>
      <w:szCs w:val="26"/>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8420">
      <w:bodyDiv w:val="1"/>
      <w:marLeft w:val="0"/>
      <w:marRight w:val="0"/>
      <w:marTop w:val="0"/>
      <w:marBottom w:val="0"/>
      <w:divBdr>
        <w:top w:val="none" w:sz="0" w:space="0" w:color="auto"/>
        <w:left w:val="none" w:sz="0" w:space="0" w:color="auto"/>
        <w:bottom w:val="none" w:sz="0" w:space="0" w:color="auto"/>
        <w:right w:val="none" w:sz="0" w:space="0" w:color="auto"/>
      </w:divBdr>
    </w:div>
    <w:div w:id="97717411">
      <w:bodyDiv w:val="1"/>
      <w:marLeft w:val="0"/>
      <w:marRight w:val="0"/>
      <w:marTop w:val="0"/>
      <w:marBottom w:val="0"/>
      <w:divBdr>
        <w:top w:val="none" w:sz="0" w:space="0" w:color="auto"/>
        <w:left w:val="none" w:sz="0" w:space="0" w:color="auto"/>
        <w:bottom w:val="none" w:sz="0" w:space="0" w:color="auto"/>
        <w:right w:val="none" w:sz="0" w:space="0" w:color="auto"/>
      </w:divBdr>
    </w:div>
    <w:div w:id="171384574">
      <w:bodyDiv w:val="1"/>
      <w:marLeft w:val="0"/>
      <w:marRight w:val="0"/>
      <w:marTop w:val="0"/>
      <w:marBottom w:val="0"/>
      <w:divBdr>
        <w:top w:val="none" w:sz="0" w:space="0" w:color="auto"/>
        <w:left w:val="none" w:sz="0" w:space="0" w:color="auto"/>
        <w:bottom w:val="none" w:sz="0" w:space="0" w:color="auto"/>
        <w:right w:val="none" w:sz="0" w:space="0" w:color="auto"/>
      </w:divBdr>
    </w:div>
    <w:div w:id="181480863">
      <w:bodyDiv w:val="1"/>
      <w:marLeft w:val="0"/>
      <w:marRight w:val="0"/>
      <w:marTop w:val="0"/>
      <w:marBottom w:val="0"/>
      <w:divBdr>
        <w:top w:val="none" w:sz="0" w:space="0" w:color="auto"/>
        <w:left w:val="none" w:sz="0" w:space="0" w:color="auto"/>
        <w:bottom w:val="none" w:sz="0" w:space="0" w:color="auto"/>
        <w:right w:val="none" w:sz="0" w:space="0" w:color="auto"/>
      </w:divBdr>
    </w:div>
    <w:div w:id="316501725">
      <w:bodyDiv w:val="1"/>
      <w:marLeft w:val="0"/>
      <w:marRight w:val="0"/>
      <w:marTop w:val="0"/>
      <w:marBottom w:val="0"/>
      <w:divBdr>
        <w:top w:val="none" w:sz="0" w:space="0" w:color="auto"/>
        <w:left w:val="none" w:sz="0" w:space="0" w:color="auto"/>
        <w:bottom w:val="none" w:sz="0" w:space="0" w:color="auto"/>
        <w:right w:val="none" w:sz="0" w:space="0" w:color="auto"/>
      </w:divBdr>
    </w:div>
    <w:div w:id="331563929">
      <w:bodyDiv w:val="1"/>
      <w:marLeft w:val="0"/>
      <w:marRight w:val="0"/>
      <w:marTop w:val="0"/>
      <w:marBottom w:val="0"/>
      <w:divBdr>
        <w:top w:val="none" w:sz="0" w:space="0" w:color="auto"/>
        <w:left w:val="none" w:sz="0" w:space="0" w:color="auto"/>
        <w:bottom w:val="none" w:sz="0" w:space="0" w:color="auto"/>
        <w:right w:val="none" w:sz="0" w:space="0" w:color="auto"/>
      </w:divBdr>
    </w:div>
    <w:div w:id="353264843">
      <w:bodyDiv w:val="1"/>
      <w:marLeft w:val="0"/>
      <w:marRight w:val="0"/>
      <w:marTop w:val="0"/>
      <w:marBottom w:val="0"/>
      <w:divBdr>
        <w:top w:val="none" w:sz="0" w:space="0" w:color="auto"/>
        <w:left w:val="none" w:sz="0" w:space="0" w:color="auto"/>
        <w:bottom w:val="none" w:sz="0" w:space="0" w:color="auto"/>
        <w:right w:val="none" w:sz="0" w:space="0" w:color="auto"/>
      </w:divBdr>
    </w:div>
    <w:div w:id="424152306">
      <w:bodyDiv w:val="1"/>
      <w:marLeft w:val="0"/>
      <w:marRight w:val="0"/>
      <w:marTop w:val="0"/>
      <w:marBottom w:val="0"/>
      <w:divBdr>
        <w:top w:val="none" w:sz="0" w:space="0" w:color="auto"/>
        <w:left w:val="none" w:sz="0" w:space="0" w:color="auto"/>
        <w:bottom w:val="none" w:sz="0" w:space="0" w:color="auto"/>
        <w:right w:val="none" w:sz="0" w:space="0" w:color="auto"/>
      </w:divBdr>
    </w:div>
    <w:div w:id="427851091">
      <w:bodyDiv w:val="1"/>
      <w:marLeft w:val="0"/>
      <w:marRight w:val="0"/>
      <w:marTop w:val="0"/>
      <w:marBottom w:val="0"/>
      <w:divBdr>
        <w:top w:val="none" w:sz="0" w:space="0" w:color="auto"/>
        <w:left w:val="none" w:sz="0" w:space="0" w:color="auto"/>
        <w:bottom w:val="none" w:sz="0" w:space="0" w:color="auto"/>
        <w:right w:val="none" w:sz="0" w:space="0" w:color="auto"/>
      </w:divBdr>
    </w:div>
    <w:div w:id="478379761">
      <w:bodyDiv w:val="1"/>
      <w:marLeft w:val="0"/>
      <w:marRight w:val="0"/>
      <w:marTop w:val="0"/>
      <w:marBottom w:val="0"/>
      <w:divBdr>
        <w:top w:val="none" w:sz="0" w:space="0" w:color="auto"/>
        <w:left w:val="none" w:sz="0" w:space="0" w:color="auto"/>
        <w:bottom w:val="none" w:sz="0" w:space="0" w:color="auto"/>
        <w:right w:val="none" w:sz="0" w:space="0" w:color="auto"/>
      </w:divBdr>
    </w:div>
    <w:div w:id="652679737">
      <w:bodyDiv w:val="1"/>
      <w:marLeft w:val="0"/>
      <w:marRight w:val="0"/>
      <w:marTop w:val="0"/>
      <w:marBottom w:val="0"/>
      <w:divBdr>
        <w:top w:val="none" w:sz="0" w:space="0" w:color="auto"/>
        <w:left w:val="none" w:sz="0" w:space="0" w:color="auto"/>
        <w:bottom w:val="none" w:sz="0" w:space="0" w:color="auto"/>
        <w:right w:val="none" w:sz="0" w:space="0" w:color="auto"/>
      </w:divBdr>
    </w:div>
    <w:div w:id="749473528">
      <w:bodyDiv w:val="1"/>
      <w:marLeft w:val="0"/>
      <w:marRight w:val="0"/>
      <w:marTop w:val="0"/>
      <w:marBottom w:val="0"/>
      <w:divBdr>
        <w:top w:val="none" w:sz="0" w:space="0" w:color="auto"/>
        <w:left w:val="none" w:sz="0" w:space="0" w:color="auto"/>
        <w:bottom w:val="none" w:sz="0" w:space="0" w:color="auto"/>
        <w:right w:val="none" w:sz="0" w:space="0" w:color="auto"/>
      </w:divBdr>
    </w:div>
    <w:div w:id="855310437">
      <w:bodyDiv w:val="1"/>
      <w:marLeft w:val="0"/>
      <w:marRight w:val="0"/>
      <w:marTop w:val="0"/>
      <w:marBottom w:val="0"/>
      <w:divBdr>
        <w:top w:val="none" w:sz="0" w:space="0" w:color="auto"/>
        <w:left w:val="none" w:sz="0" w:space="0" w:color="auto"/>
        <w:bottom w:val="none" w:sz="0" w:space="0" w:color="auto"/>
        <w:right w:val="none" w:sz="0" w:space="0" w:color="auto"/>
      </w:divBdr>
    </w:div>
    <w:div w:id="1379234287">
      <w:bodyDiv w:val="1"/>
      <w:marLeft w:val="0"/>
      <w:marRight w:val="0"/>
      <w:marTop w:val="0"/>
      <w:marBottom w:val="0"/>
      <w:divBdr>
        <w:top w:val="none" w:sz="0" w:space="0" w:color="auto"/>
        <w:left w:val="none" w:sz="0" w:space="0" w:color="auto"/>
        <w:bottom w:val="none" w:sz="0" w:space="0" w:color="auto"/>
        <w:right w:val="none" w:sz="0" w:space="0" w:color="auto"/>
      </w:divBdr>
    </w:div>
    <w:div w:id="1402481440">
      <w:bodyDiv w:val="1"/>
      <w:marLeft w:val="0"/>
      <w:marRight w:val="0"/>
      <w:marTop w:val="0"/>
      <w:marBottom w:val="0"/>
      <w:divBdr>
        <w:top w:val="none" w:sz="0" w:space="0" w:color="auto"/>
        <w:left w:val="none" w:sz="0" w:space="0" w:color="auto"/>
        <w:bottom w:val="none" w:sz="0" w:space="0" w:color="auto"/>
        <w:right w:val="none" w:sz="0" w:space="0" w:color="auto"/>
      </w:divBdr>
    </w:div>
    <w:div w:id="1500196992">
      <w:bodyDiv w:val="1"/>
      <w:marLeft w:val="0"/>
      <w:marRight w:val="0"/>
      <w:marTop w:val="0"/>
      <w:marBottom w:val="0"/>
      <w:divBdr>
        <w:top w:val="none" w:sz="0" w:space="0" w:color="auto"/>
        <w:left w:val="none" w:sz="0" w:space="0" w:color="auto"/>
        <w:bottom w:val="none" w:sz="0" w:space="0" w:color="auto"/>
        <w:right w:val="none" w:sz="0" w:space="0" w:color="auto"/>
      </w:divBdr>
    </w:div>
    <w:div w:id="1545020821">
      <w:bodyDiv w:val="1"/>
      <w:marLeft w:val="0"/>
      <w:marRight w:val="0"/>
      <w:marTop w:val="0"/>
      <w:marBottom w:val="0"/>
      <w:divBdr>
        <w:top w:val="none" w:sz="0" w:space="0" w:color="auto"/>
        <w:left w:val="none" w:sz="0" w:space="0" w:color="auto"/>
        <w:bottom w:val="none" w:sz="0" w:space="0" w:color="auto"/>
        <w:right w:val="none" w:sz="0" w:space="0" w:color="auto"/>
      </w:divBdr>
    </w:div>
    <w:div w:id="1645429104">
      <w:bodyDiv w:val="1"/>
      <w:marLeft w:val="0"/>
      <w:marRight w:val="0"/>
      <w:marTop w:val="0"/>
      <w:marBottom w:val="0"/>
      <w:divBdr>
        <w:top w:val="none" w:sz="0" w:space="0" w:color="auto"/>
        <w:left w:val="none" w:sz="0" w:space="0" w:color="auto"/>
        <w:bottom w:val="none" w:sz="0" w:space="0" w:color="auto"/>
        <w:right w:val="none" w:sz="0" w:space="0" w:color="auto"/>
      </w:divBdr>
    </w:div>
    <w:div w:id="1951081165">
      <w:bodyDiv w:val="1"/>
      <w:marLeft w:val="0"/>
      <w:marRight w:val="0"/>
      <w:marTop w:val="0"/>
      <w:marBottom w:val="0"/>
      <w:divBdr>
        <w:top w:val="none" w:sz="0" w:space="0" w:color="auto"/>
        <w:left w:val="none" w:sz="0" w:space="0" w:color="auto"/>
        <w:bottom w:val="none" w:sz="0" w:space="0" w:color="auto"/>
        <w:right w:val="none" w:sz="0" w:space="0" w:color="auto"/>
      </w:divBdr>
    </w:div>
    <w:div w:id="207496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E67AC-0EFB-4EB0-9D40-25AAB02BB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1549</Words>
  <Characters>8834</Characters>
  <Application>Microsoft Office Word</Application>
  <DocSecurity>0</DocSecurity>
  <Lines>73</Lines>
  <Paragraphs>20</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4th Steering Committee of the Global Bioenergy Partnership (GBEP)</vt:lpstr>
      <vt:lpstr>4th Steering Committee of the Global Bioenergy Partnership (GBEP)</vt:lpstr>
      <vt:lpstr>4th Steering Committee of the Global Bioenergy Partnership (GBEP)</vt:lpstr>
    </vt:vector>
  </TitlesOfParts>
  <Company>FAO of the UN</Company>
  <LinksUpToDate>false</LinksUpToDate>
  <CharactersWithSpaces>10363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4th Steering Committee of the Global Bioenergy Partnership (GBEP)</dc:title>
  <dc:creator>Morese, Michela (NRCB)</dc:creator>
  <cp:lastModifiedBy>Morese, Michela (NRC)</cp:lastModifiedBy>
  <cp:revision>2</cp:revision>
  <cp:lastPrinted>2017-02-06T14:58:00Z</cp:lastPrinted>
  <dcterms:created xsi:type="dcterms:W3CDTF">2017-02-07T10:25:00Z</dcterms:created>
  <dcterms:modified xsi:type="dcterms:W3CDTF">2017-02-07T10:25:00Z</dcterms:modified>
</cp:coreProperties>
</file>