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30BB6" w14:textId="77777777" w:rsidR="000A7AB7" w:rsidRPr="000A7589" w:rsidRDefault="000A7AB7" w:rsidP="000A7AB7">
      <w:pPr>
        <w:ind w:right="-68"/>
        <w:rPr>
          <w:b/>
          <w:sz w:val="20"/>
          <w:szCs w:val="20"/>
          <w:lang w:val="en-GB"/>
        </w:rPr>
      </w:pPr>
    </w:p>
    <w:p w14:paraId="2EB4F632" w14:textId="77777777" w:rsidR="00BB6E2B" w:rsidRPr="002A0809" w:rsidRDefault="00BB6E2B" w:rsidP="00BB6E2B">
      <w:pPr>
        <w:ind w:right="-68"/>
        <w:jc w:val="center"/>
        <w:rPr>
          <w:b/>
          <w:sz w:val="28"/>
          <w:szCs w:val="28"/>
          <w:lang w:val="en-GB"/>
        </w:rPr>
      </w:pPr>
      <w:r w:rsidRPr="002A0809">
        <w:rPr>
          <w:b/>
          <w:sz w:val="28"/>
          <w:szCs w:val="28"/>
          <w:lang w:val="en-GB"/>
        </w:rPr>
        <w:t>GBEP Working Group on Capacity Building</w:t>
      </w:r>
    </w:p>
    <w:p w14:paraId="6F55B507" w14:textId="77777777" w:rsidR="00BB6E2B" w:rsidRDefault="00BB6E2B" w:rsidP="00BB6E2B">
      <w:pPr>
        <w:jc w:val="center"/>
        <w:rPr>
          <w:b/>
          <w:sz w:val="28"/>
          <w:szCs w:val="28"/>
          <w:lang w:val="en-GB"/>
        </w:rPr>
      </w:pPr>
      <w:proofErr w:type="gramStart"/>
      <w:r w:rsidRPr="002A0809">
        <w:rPr>
          <w:b/>
          <w:sz w:val="28"/>
          <w:szCs w:val="28"/>
          <w:lang w:val="en-GB"/>
        </w:rPr>
        <w:t>for</w:t>
      </w:r>
      <w:proofErr w:type="gramEnd"/>
      <w:r w:rsidRPr="002A0809">
        <w:rPr>
          <w:b/>
          <w:sz w:val="28"/>
          <w:szCs w:val="28"/>
          <w:lang w:val="en-GB"/>
        </w:rPr>
        <w:t xml:space="preserve"> Sustainable Bioenergy (WGCB)</w:t>
      </w:r>
    </w:p>
    <w:p w14:paraId="460EB7B7" w14:textId="77777777" w:rsidR="00BB6E2B" w:rsidRDefault="00BB6E2B" w:rsidP="00BB6E2B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Group 6 - “Bioenergy and Water” </w:t>
      </w:r>
    </w:p>
    <w:p w14:paraId="3DAAD028" w14:textId="77777777" w:rsidR="00BB6E2B" w:rsidRDefault="00BB6E2B" w:rsidP="00E62BE1">
      <w:pPr>
        <w:ind w:right="-68"/>
        <w:jc w:val="center"/>
        <w:rPr>
          <w:b/>
          <w:sz w:val="28"/>
          <w:szCs w:val="28"/>
          <w:lang w:val="en-GB"/>
        </w:rPr>
      </w:pPr>
    </w:p>
    <w:p w14:paraId="5D005EDA" w14:textId="77777777" w:rsidR="00AE15B2" w:rsidRDefault="00AE15B2" w:rsidP="00E62BE1">
      <w:pPr>
        <w:ind w:right="-68"/>
        <w:jc w:val="center"/>
        <w:rPr>
          <w:b/>
          <w:sz w:val="28"/>
          <w:szCs w:val="28"/>
          <w:lang w:val="en-GB"/>
        </w:rPr>
      </w:pPr>
    </w:p>
    <w:p w14:paraId="7243C69B" w14:textId="1637B668" w:rsidR="00E62BE1" w:rsidRPr="002A0809" w:rsidRDefault="00771C0F" w:rsidP="00BB6E2B">
      <w:pPr>
        <w:ind w:right="-68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Event</w:t>
      </w:r>
      <w:r w:rsidR="00BB6E2B">
        <w:rPr>
          <w:b/>
          <w:sz w:val="28"/>
          <w:szCs w:val="28"/>
          <w:lang w:val="en-GB"/>
        </w:rPr>
        <w:t xml:space="preserve"> on </w:t>
      </w:r>
      <w:r w:rsidR="00E62BE1" w:rsidRPr="00EF5037">
        <w:rPr>
          <w:b/>
          <w:sz w:val="28"/>
          <w:szCs w:val="28"/>
          <w:lang w:val="en-GB"/>
        </w:rPr>
        <w:t>“</w:t>
      </w:r>
      <w:r w:rsidR="00245EAA" w:rsidRPr="00245EAA">
        <w:rPr>
          <w:b/>
          <w:sz w:val="28"/>
          <w:szCs w:val="28"/>
          <w:lang w:val="en-GB"/>
        </w:rPr>
        <w:t>Bioenergy, water and SDG implementation: experiences and linkages</w:t>
      </w:r>
      <w:r w:rsidR="000E3D60" w:rsidRPr="002A0809">
        <w:rPr>
          <w:b/>
          <w:sz w:val="28"/>
          <w:szCs w:val="28"/>
          <w:lang w:val="en-GB"/>
        </w:rPr>
        <w:t xml:space="preserve">” </w:t>
      </w:r>
    </w:p>
    <w:p w14:paraId="2D271A5A" w14:textId="03664B21" w:rsidR="00E62BE1" w:rsidRPr="002A0809" w:rsidRDefault="00245EAA" w:rsidP="007C2ACF">
      <w:pPr>
        <w:jc w:val="center"/>
        <w:rPr>
          <w:b/>
          <w:i/>
          <w:lang w:val="en-GB"/>
        </w:rPr>
      </w:pPr>
      <w:r>
        <w:rPr>
          <w:b/>
          <w:i/>
          <w:lang w:val="en-GB"/>
        </w:rPr>
        <w:t>World Water Week 2017</w:t>
      </w:r>
    </w:p>
    <w:p w14:paraId="502AB3DA" w14:textId="77777777" w:rsidR="00321D8F" w:rsidRPr="000A7AB7" w:rsidRDefault="002828C1" w:rsidP="000A7AB7">
      <w:pPr>
        <w:jc w:val="center"/>
        <w:rPr>
          <w:b/>
          <w:i/>
          <w:lang w:val="en-GB"/>
        </w:rPr>
      </w:pPr>
      <w:r>
        <w:rPr>
          <w:lang w:val="en-GB"/>
        </w:rPr>
        <w:t>Stockholm</w:t>
      </w:r>
      <w:r w:rsidR="000E3D60" w:rsidRPr="002A0809">
        <w:rPr>
          <w:lang w:val="en-GB"/>
        </w:rPr>
        <w:t xml:space="preserve">, </w:t>
      </w:r>
      <w:r w:rsidR="00771C0F">
        <w:rPr>
          <w:lang w:val="en-GB"/>
        </w:rPr>
        <w:t>31 August 2017</w:t>
      </w:r>
    </w:p>
    <w:p w14:paraId="1142A523" w14:textId="77777777" w:rsidR="00321D8F" w:rsidRDefault="00321D8F" w:rsidP="00AE15B2">
      <w:pPr>
        <w:rPr>
          <w:b/>
          <w:i/>
          <w:sz w:val="16"/>
          <w:szCs w:val="16"/>
          <w:u w:val="single"/>
          <w:lang w:val="en-GB"/>
        </w:rPr>
      </w:pPr>
    </w:p>
    <w:p w14:paraId="44C5FB9E" w14:textId="77777777" w:rsidR="00AE15B2" w:rsidRPr="000A7589" w:rsidRDefault="00AE15B2" w:rsidP="00AE15B2">
      <w:pPr>
        <w:rPr>
          <w:b/>
          <w:i/>
          <w:sz w:val="16"/>
          <w:szCs w:val="16"/>
          <w:u w:val="single"/>
          <w:lang w:val="en-GB"/>
        </w:rPr>
      </w:pPr>
    </w:p>
    <w:p w14:paraId="7A52B64F" w14:textId="77777777" w:rsidR="00EF5644" w:rsidRDefault="00EF5644" w:rsidP="00B614A8">
      <w:pPr>
        <w:jc w:val="center"/>
        <w:rPr>
          <w:b/>
          <w:i/>
          <w:u w:val="single"/>
          <w:lang w:val="en-GB"/>
        </w:rPr>
      </w:pPr>
    </w:p>
    <w:p w14:paraId="5228F3B4" w14:textId="77777777" w:rsidR="00EF5644" w:rsidRDefault="00EF5644" w:rsidP="00B614A8">
      <w:pPr>
        <w:jc w:val="center"/>
        <w:rPr>
          <w:b/>
          <w:i/>
          <w:u w:val="single"/>
          <w:lang w:val="en-GB"/>
        </w:rPr>
      </w:pPr>
    </w:p>
    <w:p w14:paraId="081A15BD" w14:textId="77777777" w:rsidR="00B614A8" w:rsidRPr="00EF5271" w:rsidRDefault="00DD7A1A" w:rsidP="00B614A8">
      <w:pPr>
        <w:jc w:val="center"/>
        <w:rPr>
          <w:b/>
          <w:i/>
          <w:u w:val="single"/>
          <w:lang w:val="en-GB"/>
        </w:rPr>
      </w:pPr>
      <w:r w:rsidRPr="00EF5271">
        <w:rPr>
          <w:b/>
          <w:i/>
          <w:u w:val="single"/>
          <w:lang w:val="en-GB"/>
        </w:rPr>
        <w:t>DRAFT</w:t>
      </w:r>
      <w:r w:rsidR="000E3D60" w:rsidRPr="00EF5271">
        <w:rPr>
          <w:b/>
          <w:i/>
          <w:u w:val="single"/>
          <w:lang w:val="en-GB"/>
        </w:rPr>
        <w:t xml:space="preserve"> AGENDA</w:t>
      </w:r>
    </w:p>
    <w:p w14:paraId="6BC0A2DD" w14:textId="77777777" w:rsidR="00E62BE1" w:rsidRPr="00EF5271" w:rsidRDefault="00E62BE1" w:rsidP="00E62BE1">
      <w:pPr>
        <w:ind w:right="-68"/>
        <w:jc w:val="center"/>
        <w:rPr>
          <w:b/>
          <w:lang w:val="en-GB"/>
        </w:rPr>
      </w:pPr>
    </w:p>
    <w:p w14:paraId="5834E2C2" w14:textId="065CD8A1" w:rsidR="0098606F" w:rsidRPr="00EF5271" w:rsidRDefault="002828C1" w:rsidP="00771C0F">
      <w:pPr>
        <w:ind w:firstLine="720"/>
        <w:jc w:val="both"/>
        <w:rPr>
          <w:lang w:val="en-US"/>
        </w:rPr>
      </w:pPr>
      <w:r w:rsidRPr="00EF5271">
        <w:rPr>
          <w:lang w:val="en-US"/>
        </w:rPr>
        <w:t>The Global Bioenergy Partnership (GBEP) brings together public, private and civil society stakeholders in a joint commitment to promote bioenergy f</w:t>
      </w:r>
      <w:r w:rsidR="00165E28" w:rsidRPr="00EF5271">
        <w:rPr>
          <w:lang w:val="en-US"/>
        </w:rPr>
        <w:t xml:space="preserve">or sustainable development. </w:t>
      </w:r>
      <w:r w:rsidRPr="00EF5271">
        <w:rPr>
          <w:lang w:val="en-US"/>
        </w:rPr>
        <w:t>GBEP Activity Group</w:t>
      </w:r>
      <w:r w:rsidR="00165E28" w:rsidRPr="00EF5271">
        <w:rPr>
          <w:lang w:val="en-US"/>
        </w:rPr>
        <w:t xml:space="preserve"> 6 (“</w:t>
      </w:r>
      <w:r w:rsidRPr="00EF5271">
        <w:rPr>
          <w:lang w:val="en-US"/>
        </w:rPr>
        <w:t>Bioenergy and Water</w:t>
      </w:r>
      <w:r w:rsidR="00165E28" w:rsidRPr="00EF5271">
        <w:rPr>
          <w:lang w:val="en-US"/>
        </w:rPr>
        <w:t>”)</w:t>
      </w:r>
      <w:r w:rsidRPr="00EF5271">
        <w:rPr>
          <w:lang w:val="en-US"/>
        </w:rPr>
        <w:t xml:space="preserve"> aims to identify and disseminate ways of integrating bioenergy systems into agricultural and forested landscapes for improving sustainable management of water resources, including </w:t>
      </w:r>
      <w:proofErr w:type="gramStart"/>
      <w:r w:rsidRPr="00EF5271">
        <w:rPr>
          <w:lang w:val="en-US"/>
        </w:rPr>
        <w:t>waste water</w:t>
      </w:r>
      <w:proofErr w:type="gramEnd"/>
      <w:r w:rsidRPr="00EF5271">
        <w:rPr>
          <w:lang w:val="en-US"/>
        </w:rPr>
        <w:t>. This includes sharing knowledge and experiences on landscape identification and design, best management practices</w:t>
      </w:r>
      <w:r w:rsidR="00245EAA">
        <w:rPr>
          <w:lang w:val="en-US"/>
        </w:rPr>
        <w:t>,</w:t>
      </w:r>
      <w:r w:rsidRPr="00EF5271">
        <w:rPr>
          <w:lang w:val="en-US"/>
        </w:rPr>
        <w:t xml:space="preserve"> as well as on policies and instruments supporting bioenergy implementation that contributes positively to the state of water. With the support of the IEA as a GBEP partner, IEA Bioenergy Task 43, assisted by Task 40, is co-chairing the Activity Group and contributing to the work defined in the </w:t>
      </w:r>
      <w:proofErr w:type="spellStart"/>
      <w:r w:rsidRPr="00EF5271">
        <w:rPr>
          <w:lang w:val="en-US"/>
        </w:rPr>
        <w:t>workplan</w:t>
      </w:r>
      <w:proofErr w:type="spellEnd"/>
      <w:r w:rsidRPr="00EF5271">
        <w:rPr>
          <w:lang w:val="en-US"/>
        </w:rPr>
        <w:t>.</w:t>
      </w:r>
      <w:r w:rsidR="003B3DC7" w:rsidRPr="00EF5271">
        <w:rPr>
          <w:lang w:val="en-US"/>
        </w:rPr>
        <w:t xml:space="preserve"> </w:t>
      </w:r>
    </w:p>
    <w:p w14:paraId="7FEC0AA8" w14:textId="77777777" w:rsidR="003B3DC7" w:rsidRPr="00EF5271" w:rsidRDefault="003B3DC7" w:rsidP="000A7589">
      <w:pPr>
        <w:tabs>
          <w:tab w:val="center" w:pos="709"/>
        </w:tabs>
        <w:jc w:val="both"/>
        <w:rPr>
          <w:lang w:val="en-US"/>
        </w:rPr>
      </w:pPr>
    </w:p>
    <w:p w14:paraId="1D61DB99" w14:textId="77777777" w:rsidR="00771C0F" w:rsidRDefault="00771C0F" w:rsidP="00771C0F">
      <w:pPr>
        <w:ind w:firstLine="720"/>
        <w:jc w:val="both"/>
        <w:rPr>
          <w:lang w:val="en-US"/>
        </w:rPr>
      </w:pPr>
      <w:r>
        <w:rPr>
          <w:lang w:val="en-US"/>
        </w:rPr>
        <w:t>The</w:t>
      </w:r>
      <w:r w:rsidRPr="00771C0F">
        <w:rPr>
          <w:lang w:val="en-US"/>
        </w:rPr>
        <w:t xml:space="preserve"> event </w:t>
      </w:r>
      <w:r>
        <w:rPr>
          <w:lang w:val="en-US"/>
        </w:rPr>
        <w:t>will include the</w:t>
      </w:r>
      <w:r w:rsidRPr="00771C0F">
        <w:rPr>
          <w:lang w:val="en-US"/>
        </w:rPr>
        <w:t xml:space="preserve"> dissemination and discussion of outcomes from an initiative to collect examples of positive bioenergy and water linkages. This collection </w:t>
      </w:r>
      <w:proofErr w:type="gramStart"/>
      <w:r w:rsidRPr="00771C0F">
        <w:rPr>
          <w:lang w:val="en-US"/>
        </w:rPr>
        <w:t>showcases</w:t>
      </w:r>
      <w:proofErr w:type="gramEnd"/>
      <w:r w:rsidRPr="00771C0F">
        <w:rPr>
          <w:lang w:val="en-US"/>
        </w:rPr>
        <w:t xml:space="preserve"> innovative examples of how bioenergy systems - in both the feedstock production and conversion phases - can produce positive impacts on the status of water. The examples that </w:t>
      </w:r>
      <w:proofErr w:type="gramStart"/>
      <w:r w:rsidRPr="00771C0F">
        <w:rPr>
          <w:lang w:val="en-US"/>
        </w:rPr>
        <w:t>have been documented</w:t>
      </w:r>
      <w:proofErr w:type="gramEnd"/>
      <w:r w:rsidRPr="00771C0F">
        <w:rPr>
          <w:lang w:val="en-US"/>
        </w:rPr>
        <w:t xml:space="preserve"> so far cover a wide range of geographic locations, feedstocks, bioenergy pathways and practices. They come from 11 countries across six continents: Argentina, Australia, Brazil, China, Egypt, Germany, Italy, Mexico, Paraguay, South Africa and the United States of America. Each example includes qualitative and/or quantitative data on the positive impacts on water quality and availability, biomass/bioenergy production as well as any possible co-benefits that </w:t>
      </w:r>
      <w:proofErr w:type="gramStart"/>
      <w:r w:rsidRPr="00771C0F">
        <w:rPr>
          <w:lang w:val="en-US"/>
        </w:rPr>
        <w:t>were observed</w:t>
      </w:r>
      <w:proofErr w:type="gramEnd"/>
      <w:r w:rsidRPr="00771C0F">
        <w:rPr>
          <w:lang w:val="en-US"/>
        </w:rPr>
        <w:t>.</w:t>
      </w:r>
    </w:p>
    <w:p w14:paraId="4E324D21" w14:textId="77777777" w:rsidR="00771C0F" w:rsidRPr="00771C0F" w:rsidRDefault="00771C0F" w:rsidP="00771C0F">
      <w:pPr>
        <w:ind w:firstLine="720"/>
        <w:jc w:val="both"/>
        <w:rPr>
          <w:lang w:val="en-US"/>
        </w:rPr>
      </w:pPr>
    </w:p>
    <w:p w14:paraId="7AC5CEF0" w14:textId="77777777" w:rsidR="003B3DC7" w:rsidRPr="00771C0F" w:rsidRDefault="00771C0F" w:rsidP="00771C0F">
      <w:pPr>
        <w:ind w:firstLine="720"/>
        <w:jc w:val="both"/>
        <w:rPr>
          <w:lang w:val="en-US"/>
        </w:rPr>
      </w:pPr>
      <w:r w:rsidRPr="00771C0F">
        <w:rPr>
          <w:lang w:val="en-US"/>
        </w:rPr>
        <w:t xml:space="preserve">The event will build on an integrative understanding of bioenergy and water, aiming to contribute to SDG implementation. Selected positive examples </w:t>
      </w:r>
      <w:proofErr w:type="gramStart"/>
      <w:r w:rsidRPr="00771C0F">
        <w:rPr>
          <w:lang w:val="en-US"/>
        </w:rPr>
        <w:t>will be presented</w:t>
      </w:r>
      <w:proofErr w:type="gramEnd"/>
      <w:r w:rsidRPr="00771C0F">
        <w:rPr>
          <w:lang w:val="en-US"/>
        </w:rPr>
        <w:t xml:space="preserve"> together with learning from activities addressing linkages between SDGs and the GBEP Sustainability Indicators, which are intended to guide analysis undertaken of bioenergy at the domestic level with a view to informing decision making and facilitating the sustainable development of bioenergy in a manner consistent with multilateral trade.</w:t>
      </w:r>
    </w:p>
    <w:p w14:paraId="11A0D93B" w14:textId="77777777" w:rsidR="00164AA3" w:rsidRDefault="00164AA3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</w:p>
    <w:p w14:paraId="62BA72A4" w14:textId="77777777" w:rsidR="003B3DC7" w:rsidRPr="003B3DC7" w:rsidRDefault="003B3DC7" w:rsidP="003B3DC7">
      <w:pPr>
        <w:pStyle w:val="BodyTextIndent"/>
        <w:tabs>
          <w:tab w:val="left" w:pos="2160"/>
        </w:tabs>
        <w:ind w:left="0" w:firstLine="0"/>
        <w:jc w:val="both"/>
        <w:rPr>
          <w:bCs/>
        </w:rPr>
      </w:pPr>
      <w:r w:rsidRPr="005B0277">
        <w:rPr>
          <w:bCs/>
        </w:rPr>
        <w:t>In collaboration with:</w:t>
      </w:r>
    </w:p>
    <w:p w14:paraId="25CCDEFD" w14:textId="77777777" w:rsidR="003B3DC7" w:rsidRDefault="003B3DC7" w:rsidP="00B02039">
      <w:pPr>
        <w:pStyle w:val="BodyTextIndent"/>
        <w:tabs>
          <w:tab w:val="left" w:pos="2160"/>
        </w:tabs>
        <w:jc w:val="both"/>
        <w:rPr>
          <w:bCs/>
          <w:u w:val="single"/>
        </w:rPr>
      </w:pPr>
      <w:r>
        <w:rPr>
          <w:bCs/>
          <w:u w:val="single"/>
        </w:rPr>
        <w:t xml:space="preserve">                                                                                         </w:t>
      </w:r>
    </w:p>
    <w:p w14:paraId="3F93487B" w14:textId="77777777" w:rsidR="00B02039" w:rsidRDefault="00B02039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</w:p>
    <w:p w14:paraId="105075D9" w14:textId="77777777" w:rsidR="00B02039" w:rsidRDefault="00771C0F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  <w:r>
        <w:rPr>
          <w:noProof/>
          <w:lang w:val="en-US" w:eastAsia="zh-CN"/>
        </w:rPr>
        <w:drawing>
          <wp:inline distT="0" distB="0" distL="0" distR="0" wp14:anchorId="31930930" wp14:editId="70D43B25">
            <wp:extent cx="1209675" cy="523875"/>
            <wp:effectExtent l="0" t="0" r="9525" b="9525"/>
            <wp:docPr id="5" name="Picture 5" descr="C:\Users\rossia\AppData\Local\Microsoft\Windows\Temporary Internet Files\Content.Word\AOA_energyx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ssia\AppData\Local\Microsoft\Windows\Temporary Internet Files\Content.Word\AOA_energyx1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5AD2B" w14:textId="77777777" w:rsidR="00B02039" w:rsidRDefault="00B02039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</w:p>
    <w:p w14:paraId="2F913253" w14:textId="77777777" w:rsidR="00B02039" w:rsidRDefault="00B02039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</w:p>
    <w:p w14:paraId="70445C9C" w14:textId="77777777" w:rsidR="0098606F" w:rsidRDefault="00771C0F" w:rsidP="003B3DC7">
      <w:pPr>
        <w:pStyle w:val="BodyTextIndent"/>
        <w:tabs>
          <w:tab w:val="left" w:pos="2160"/>
        </w:tabs>
        <w:jc w:val="both"/>
        <w:rPr>
          <w:bCs/>
          <w:u w:val="single"/>
        </w:rPr>
      </w:pPr>
      <w:r>
        <w:rPr>
          <w:bCs/>
          <w:u w:val="single"/>
        </w:rPr>
        <w:t>31 August 2017, Thursday</w:t>
      </w:r>
    </w:p>
    <w:p w14:paraId="042BC3C1" w14:textId="77777777" w:rsidR="0016050C" w:rsidRPr="002A0809" w:rsidRDefault="0016050C" w:rsidP="00245EAA">
      <w:pPr>
        <w:pStyle w:val="BodyTextIndent"/>
        <w:tabs>
          <w:tab w:val="left" w:pos="2160"/>
        </w:tabs>
        <w:ind w:left="0" w:firstLine="0"/>
        <w:jc w:val="both"/>
        <w:rPr>
          <w:bCs/>
          <w:u w:val="single"/>
        </w:rPr>
      </w:pPr>
    </w:p>
    <w:p w14:paraId="1E016BCD" w14:textId="77777777" w:rsidR="00B614A8" w:rsidRPr="00E44D3B" w:rsidRDefault="00B614A8" w:rsidP="0098606F">
      <w:pPr>
        <w:pStyle w:val="BodyTextIndent"/>
        <w:tabs>
          <w:tab w:val="left" w:pos="2160"/>
        </w:tabs>
        <w:ind w:left="2126" w:hanging="2126"/>
        <w:jc w:val="both"/>
        <w:rPr>
          <w:bCs/>
          <w:sz w:val="16"/>
          <w:szCs w:val="16"/>
          <w:u w:val="single"/>
        </w:rPr>
      </w:pPr>
    </w:p>
    <w:p w14:paraId="19ADF561" w14:textId="77D60C52" w:rsidR="0096656D" w:rsidRDefault="00771C0F" w:rsidP="005B0277">
      <w:pPr>
        <w:pStyle w:val="BodyTextIndent"/>
        <w:tabs>
          <w:tab w:val="left" w:pos="2160"/>
        </w:tabs>
        <w:ind w:left="2160" w:hanging="2160"/>
        <w:jc w:val="both"/>
      </w:pPr>
      <w:proofErr w:type="gramStart"/>
      <w:r>
        <w:rPr>
          <w:color w:val="000000"/>
        </w:rPr>
        <w:t>09.00</w:t>
      </w:r>
      <w:proofErr w:type="gramEnd"/>
      <w:r>
        <w:rPr>
          <w:color w:val="000000"/>
        </w:rPr>
        <w:t xml:space="preserve"> – 09.1</w:t>
      </w:r>
      <w:r w:rsidR="005B0277">
        <w:rPr>
          <w:color w:val="000000"/>
        </w:rPr>
        <w:t>0</w:t>
      </w:r>
      <w:r w:rsidR="000E3D60" w:rsidRPr="002A0809">
        <w:rPr>
          <w:color w:val="000000"/>
        </w:rPr>
        <w:tab/>
      </w:r>
      <w:r w:rsidR="0096656D">
        <w:rPr>
          <w:color w:val="000000"/>
        </w:rPr>
        <w:t xml:space="preserve">Introduction to the work of </w:t>
      </w:r>
      <w:r w:rsidR="0096656D">
        <w:t xml:space="preserve">GBEP </w:t>
      </w:r>
      <w:r>
        <w:t xml:space="preserve">and </w:t>
      </w:r>
      <w:r w:rsidR="0096656D">
        <w:t>the Sustainability Indicators -</w:t>
      </w:r>
    </w:p>
    <w:p w14:paraId="37916327" w14:textId="2D5AE437" w:rsidR="00B614A8" w:rsidRDefault="0096656D" w:rsidP="00771C0F">
      <w:pPr>
        <w:pStyle w:val="BodyTextIndent"/>
        <w:tabs>
          <w:tab w:val="left" w:pos="2160"/>
        </w:tabs>
        <w:ind w:left="2160" w:hanging="2160"/>
        <w:jc w:val="both"/>
      </w:pPr>
      <w:r>
        <w:rPr>
          <w:color w:val="000000"/>
        </w:rPr>
        <w:tab/>
      </w:r>
      <w:r w:rsidR="00771C0F">
        <w:t xml:space="preserve">Links between SDGs and GBEP </w:t>
      </w:r>
      <w:r>
        <w:t>Sustainability Indicators</w:t>
      </w:r>
    </w:p>
    <w:p w14:paraId="4A9801F0" w14:textId="33622DD3" w:rsidR="0096656D" w:rsidRPr="0096656D" w:rsidRDefault="0096656D" w:rsidP="00771C0F">
      <w:pPr>
        <w:pStyle w:val="BodyTextIndent"/>
        <w:tabs>
          <w:tab w:val="left" w:pos="2160"/>
        </w:tabs>
        <w:ind w:left="2160" w:hanging="2160"/>
        <w:jc w:val="both"/>
        <w:rPr>
          <w:b w:val="0"/>
          <w:i/>
          <w:color w:val="000000"/>
        </w:rPr>
      </w:pPr>
      <w:r>
        <w:rPr>
          <w:color w:val="000000"/>
        </w:rPr>
        <w:tab/>
      </w:r>
      <w:r w:rsidRPr="0096656D">
        <w:rPr>
          <w:b w:val="0"/>
          <w:i/>
          <w:color w:val="000000"/>
        </w:rPr>
        <w:t>Uwe Fritsche</w:t>
      </w:r>
      <w:r w:rsidR="007C70F5">
        <w:rPr>
          <w:b w:val="0"/>
          <w:i/>
          <w:color w:val="000000"/>
        </w:rPr>
        <w:t>, IEA Bioenergy</w:t>
      </w:r>
    </w:p>
    <w:p w14:paraId="5F95942D" w14:textId="77777777" w:rsidR="00F00F43" w:rsidRPr="00E44D3B" w:rsidRDefault="00F00F43" w:rsidP="00E62BE1">
      <w:pPr>
        <w:ind w:right="-68"/>
        <w:jc w:val="center"/>
        <w:rPr>
          <w:b/>
          <w:sz w:val="16"/>
          <w:szCs w:val="16"/>
          <w:lang w:val="en-GB"/>
        </w:rPr>
      </w:pPr>
    </w:p>
    <w:p w14:paraId="0862675B" w14:textId="3C6E78B9" w:rsidR="00B614A8" w:rsidRDefault="00771C0F" w:rsidP="005B0277">
      <w:pPr>
        <w:ind w:left="2160" w:hanging="2160"/>
        <w:jc w:val="both"/>
        <w:rPr>
          <w:b/>
          <w:bCs/>
          <w:lang w:val="en-GB"/>
        </w:rPr>
      </w:pPr>
      <w:proofErr w:type="gramStart"/>
      <w:r>
        <w:rPr>
          <w:b/>
          <w:bCs/>
          <w:lang w:val="en-GB"/>
        </w:rPr>
        <w:t>09.1</w:t>
      </w:r>
      <w:r w:rsidR="005B0277">
        <w:rPr>
          <w:b/>
          <w:bCs/>
          <w:lang w:val="en-GB"/>
        </w:rPr>
        <w:t>0</w:t>
      </w:r>
      <w:proofErr w:type="gramEnd"/>
      <w:r>
        <w:rPr>
          <w:b/>
          <w:bCs/>
          <w:lang w:val="en-GB"/>
        </w:rPr>
        <w:t xml:space="preserve"> – 09.</w:t>
      </w:r>
      <w:r w:rsidR="005B0277">
        <w:rPr>
          <w:b/>
          <w:bCs/>
          <w:lang w:val="en-GB"/>
        </w:rPr>
        <w:t>2</w:t>
      </w:r>
      <w:r>
        <w:rPr>
          <w:b/>
          <w:bCs/>
          <w:lang w:val="en-GB"/>
        </w:rPr>
        <w:t>0</w:t>
      </w:r>
      <w:r w:rsidR="000E3D60" w:rsidRPr="002A0809">
        <w:rPr>
          <w:b/>
          <w:bCs/>
          <w:lang w:val="en-GB"/>
        </w:rPr>
        <w:tab/>
      </w:r>
      <w:r w:rsidR="0096656D">
        <w:rPr>
          <w:b/>
          <w:bCs/>
          <w:lang w:val="en-GB"/>
        </w:rPr>
        <w:t xml:space="preserve">Introduction to the work of </w:t>
      </w:r>
      <w:r w:rsidRPr="00771C0F">
        <w:rPr>
          <w:b/>
          <w:lang w:val="en-US"/>
        </w:rPr>
        <w:t>A</w:t>
      </w:r>
      <w:r w:rsidR="0096656D">
        <w:rPr>
          <w:b/>
          <w:lang w:val="en-US"/>
        </w:rPr>
        <w:t xml:space="preserve">ctivity </w:t>
      </w:r>
      <w:r w:rsidRPr="00771C0F">
        <w:rPr>
          <w:b/>
          <w:lang w:val="en-US"/>
        </w:rPr>
        <w:t>G</w:t>
      </w:r>
      <w:r w:rsidR="0096656D">
        <w:rPr>
          <w:b/>
          <w:lang w:val="en-US"/>
        </w:rPr>
        <w:t xml:space="preserve">roup 6 on Bioenergy and Water </w:t>
      </w:r>
      <w:r w:rsidRPr="00771C0F">
        <w:rPr>
          <w:b/>
          <w:lang w:val="en-US"/>
        </w:rPr>
        <w:t xml:space="preserve">and </w:t>
      </w:r>
      <w:r w:rsidR="004F29A0">
        <w:rPr>
          <w:b/>
          <w:lang w:val="en-US"/>
        </w:rPr>
        <w:t>P</w:t>
      </w:r>
      <w:r w:rsidRPr="00771C0F">
        <w:rPr>
          <w:b/>
          <w:lang w:val="en-US"/>
        </w:rPr>
        <w:t>ublication</w:t>
      </w:r>
      <w:r w:rsidR="0096656D">
        <w:rPr>
          <w:b/>
          <w:lang w:val="en-US"/>
        </w:rPr>
        <w:t xml:space="preserve"> on </w:t>
      </w:r>
      <w:r w:rsidR="004F29A0">
        <w:rPr>
          <w:b/>
          <w:lang w:val="en-US"/>
        </w:rPr>
        <w:t>“</w:t>
      </w:r>
      <w:r w:rsidR="004F29A0" w:rsidRPr="004F29A0">
        <w:rPr>
          <w:b/>
          <w:lang w:val="en-US"/>
        </w:rPr>
        <w:t>Examples of Positive Bioenergy and Water Relationships</w:t>
      </w:r>
      <w:r w:rsidR="004F29A0">
        <w:rPr>
          <w:b/>
          <w:lang w:val="en-US"/>
        </w:rPr>
        <w:t>”</w:t>
      </w:r>
    </w:p>
    <w:p w14:paraId="4223BBD7" w14:textId="539279EB" w:rsidR="00771C0F" w:rsidRPr="002A0809" w:rsidRDefault="00771C0F" w:rsidP="0096656D">
      <w:pPr>
        <w:pStyle w:val="BodyTextIndent"/>
        <w:tabs>
          <w:tab w:val="left" w:pos="2160"/>
        </w:tabs>
        <w:ind w:left="2160" w:hanging="2160"/>
        <w:jc w:val="both"/>
        <w:rPr>
          <w:b w:val="0"/>
          <w:bCs/>
        </w:rPr>
      </w:pPr>
      <w:r>
        <w:rPr>
          <w:b w:val="0"/>
          <w:bCs/>
        </w:rPr>
        <w:tab/>
      </w:r>
      <w:r w:rsidRPr="0096656D">
        <w:rPr>
          <w:b w:val="0"/>
          <w:i/>
          <w:color w:val="000000"/>
        </w:rPr>
        <w:t>Göran Berndes</w:t>
      </w:r>
      <w:r w:rsidR="007C70F5">
        <w:rPr>
          <w:b w:val="0"/>
          <w:i/>
          <w:color w:val="000000"/>
        </w:rPr>
        <w:t>, IEA Bioenergy</w:t>
      </w:r>
    </w:p>
    <w:p w14:paraId="6FEA0044" w14:textId="77777777" w:rsidR="00F63483" w:rsidRPr="00E44D3B" w:rsidRDefault="00F63483" w:rsidP="00BD6125">
      <w:pPr>
        <w:pStyle w:val="ListParagraph"/>
        <w:spacing w:after="0" w:line="240" w:lineRule="auto"/>
        <w:ind w:firstLine="1407"/>
        <w:jc w:val="both"/>
        <w:rPr>
          <w:bCs/>
          <w:i/>
          <w:sz w:val="16"/>
          <w:szCs w:val="16"/>
        </w:rPr>
      </w:pPr>
    </w:p>
    <w:p w14:paraId="7F1936BF" w14:textId="096ACC18" w:rsidR="00BD6125" w:rsidRPr="00771C0F" w:rsidRDefault="00771C0F" w:rsidP="005B0277">
      <w:pPr>
        <w:spacing w:line="300" w:lineRule="auto"/>
        <w:jc w:val="both"/>
        <w:rPr>
          <w:b/>
          <w:bCs/>
          <w:lang w:val="en-US"/>
        </w:rPr>
      </w:pPr>
      <w:r>
        <w:rPr>
          <w:b/>
          <w:bCs/>
          <w:lang w:val="en-GB"/>
        </w:rPr>
        <w:t>09.</w:t>
      </w:r>
      <w:r w:rsidR="005B0277">
        <w:rPr>
          <w:b/>
          <w:bCs/>
          <w:lang w:val="en-GB"/>
        </w:rPr>
        <w:t>2</w:t>
      </w:r>
      <w:r>
        <w:rPr>
          <w:b/>
          <w:bCs/>
          <w:lang w:val="en-GB"/>
        </w:rPr>
        <w:t>0 – 10:00</w:t>
      </w:r>
      <w:r w:rsidR="000E3D60" w:rsidRPr="002A0809">
        <w:rPr>
          <w:b/>
          <w:bCs/>
          <w:lang w:val="en-GB"/>
        </w:rPr>
        <w:tab/>
      </w:r>
      <w:r w:rsidR="000E3D60" w:rsidRPr="002A0809">
        <w:rPr>
          <w:b/>
          <w:bCs/>
          <w:lang w:val="en-GB"/>
        </w:rPr>
        <w:tab/>
      </w:r>
      <w:r w:rsidR="004F29A0">
        <w:rPr>
          <w:b/>
          <w:lang w:val="en-US"/>
        </w:rPr>
        <w:t>Case</w:t>
      </w:r>
      <w:r w:rsidRPr="00771C0F">
        <w:rPr>
          <w:b/>
          <w:lang w:val="en-US"/>
        </w:rPr>
        <w:t xml:space="preserve"> studies on </w:t>
      </w:r>
      <w:r w:rsidR="004F29A0" w:rsidRPr="004F29A0">
        <w:rPr>
          <w:b/>
          <w:lang w:val="en-US"/>
        </w:rPr>
        <w:t>Positive Bioenergy and Water Relationships</w:t>
      </w:r>
    </w:p>
    <w:p w14:paraId="05563BF2" w14:textId="61C30B1E" w:rsidR="00BD6125" w:rsidRPr="00E44D3B" w:rsidRDefault="006A0F3A" w:rsidP="003329F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Cs/>
          <w:lang w:val="en-GB"/>
        </w:rPr>
        <w:tab/>
      </w:r>
      <w:r w:rsidR="004F29A0">
        <w:rPr>
          <w:bCs/>
          <w:i/>
        </w:rPr>
        <w:t>TB</w:t>
      </w:r>
      <w:r w:rsidR="003329F4">
        <w:rPr>
          <w:bCs/>
          <w:i/>
        </w:rPr>
        <w:t>D</w:t>
      </w:r>
    </w:p>
    <w:p w14:paraId="58465E72" w14:textId="77777777" w:rsidR="00644882" w:rsidRPr="00E44D3B" w:rsidRDefault="00644882" w:rsidP="00BD6125">
      <w:pPr>
        <w:pStyle w:val="ListParagraph"/>
        <w:spacing w:after="0" w:line="240" w:lineRule="auto"/>
        <w:ind w:left="2552"/>
        <w:jc w:val="both"/>
        <w:rPr>
          <w:b/>
          <w:bCs/>
          <w:sz w:val="16"/>
          <w:szCs w:val="16"/>
          <w:lang w:val="en-GB"/>
        </w:rPr>
      </w:pPr>
    </w:p>
    <w:p w14:paraId="1EA229B6" w14:textId="3992AC6A" w:rsidR="00BD6125" w:rsidRPr="00771C0F" w:rsidRDefault="00771C0F" w:rsidP="005B0277">
      <w:pPr>
        <w:ind w:right="-68"/>
        <w:jc w:val="both"/>
        <w:rPr>
          <w:lang w:val="en-US"/>
        </w:rPr>
      </w:pPr>
      <w:r>
        <w:rPr>
          <w:b/>
          <w:color w:val="000000"/>
          <w:lang w:val="en-US"/>
        </w:rPr>
        <w:t>10.00</w:t>
      </w:r>
      <w:r w:rsidR="00BD6125" w:rsidRPr="00771C0F">
        <w:rPr>
          <w:b/>
          <w:color w:val="000000"/>
          <w:lang w:val="en-US"/>
        </w:rPr>
        <w:t xml:space="preserve"> – 10.</w:t>
      </w:r>
      <w:r>
        <w:rPr>
          <w:b/>
          <w:color w:val="000000"/>
          <w:lang w:val="en-US"/>
        </w:rPr>
        <w:t>10</w:t>
      </w:r>
      <w:r w:rsidR="000E3D60" w:rsidRPr="00771C0F">
        <w:rPr>
          <w:b/>
          <w:color w:val="000000"/>
          <w:lang w:val="en-US"/>
        </w:rPr>
        <w:tab/>
      </w:r>
      <w:r w:rsidR="000E3D60" w:rsidRPr="00771C0F">
        <w:rPr>
          <w:b/>
          <w:color w:val="000000"/>
          <w:lang w:val="en-US"/>
        </w:rPr>
        <w:tab/>
      </w:r>
      <w:proofErr w:type="gramStart"/>
      <w:r w:rsidR="005B0277">
        <w:rPr>
          <w:b/>
          <w:color w:val="000000"/>
          <w:lang w:val="en-US"/>
        </w:rPr>
        <w:t>The</w:t>
      </w:r>
      <w:proofErr w:type="gramEnd"/>
      <w:r w:rsidR="005B0277">
        <w:rPr>
          <w:b/>
          <w:color w:val="000000"/>
          <w:lang w:val="en-US"/>
        </w:rPr>
        <w:t xml:space="preserve"> experience of the Stockholm Environment Institute (</w:t>
      </w:r>
      <w:r w:rsidRPr="0096656D">
        <w:rPr>
          <w:b/>
          <w:lang w:val="en-US"/>
        </w:rPr>
        <w:t>SEI</w:t>
      </w:r>
      <w:r w:rsidR="005B0277">
        <w:rPr>
          <w:b/>
          <w:lang w:val="en-US"/>
        </w:rPr>
        <w:t>)</w:t>
      </w:r>
    </w:p>
    <w:p w14:paraId="4E26ECFB" w14:textId="5FE01A6A" w:rsidR="00771C0F" w:rsidRPr="007C70F5" w:rsidRDefault="00771C0F" w:rsidP="00BD6125">
      <w:pPr>
        <w:ind w:right="-68"/>
        <w:jc w:val="both"/>
        <w:rPr>
          <w:b/>
          <w:i/>
          <w:color w:val="000000"/>
          <w:lang w:val="en-US"/>
        </w:rPr>
      </w:pPr>
      <w:r w:rsidRPr="00771C0F">
        <w:rPr>
          <w:lang w:val="en-US"/>
        </w:rPr>
        <w:tab/>
      </w:r>
      <w:r w:rsidRPr="00771C0F">
        <w:rPr>
          <w:lang w:val="en-US"/>
        </w:rPr>
        <w:tab/>
      </w:r>
      <w:r w:rsidRPr="00771C0F">
        <w:rPr>
          <w:lang w:val="en-US"/>
        </w:rPr>
        <w:tab/>
      </w:r>
      <w:r w:rsidRPr="004F29A0">
        <w:rPr>
          <w:i/>
          <w:lang w:val="en-US"/>
        </w:rPr>
        <w:t>Louise</w:t>
      </w:r>
      <w:r w:rsidR="004F29A0" w:rsidRPr="004F29A0">
        <w:rPr>
          <w:i/>
        </w:rPr>
        <w:t xml:space="preserve"> </w:t>
      </w:r>
      <w:r w:rsidR="004F29A0" w:rsidRPr="004F29A0">
        <w:rPr>
          <w:i/>
          <w:lang w:val="en-US"/>
        </w:rPr>
        <w:t>Karlberg</w:t>
      </w:r>
      <w:r w:rsidR="007C70F5" w:rsidRPr="007C70F5">
        <w:rPr>
          <w:i/>
          <w:lang w:val="en-US"/>
        </w:rPr>
        <w:t xml:space="preserve">, </w:t>
      </w:r>
      <w:r w:rsidR="007C70F5" w:rsidRPr="007C70F5">
        <w:rPr>
          <w:i/>
        </w:rPr>
        <w:t xml:space="preserve">Centre </w:t>
      </w:r>
      <w:proofErr w:type="spellStart"/>
      <w:r w:rsidR="007C70F5" w:rsidRPr="007C70F5">
        <w:rPr>
          <w:i/>
        </w:rPr>
        <w:t>Director</w:t>
      </w:r>
      <w:proofErr w:type="spellEnd"/>
      <w:r w:rsidR="007C70F5" w:rsidRPr="007C70F5">
        <w:rPr>
          <w:i/>
        </w:rPr>
        <w:t>, SEI</w:t>
      </w:r>
    </w:p>
    <w:p w14:paraId="465E260F" w14:textId="77777777" w:rsidR="0020377A" w:rsidRPr="00771C0F" w:rsidRDefault="0020377A" w:rsidP="00BD6125">
      <w:pPr>
        <w:ind w:right="-68"/>
        <w:jc w:val="both"/>
        <w:rPr>
          <w:b/>
          <w:color w:val="000000"/>
          <w:sz w:val="16"/>
          <w:szCs w:val="16"/>
          <w:lang w:val="en-US"/>
        </w:rPr>
      </w:pPr>
    </w:p>
    <w:p w14:paraId="24E6F53A" w14:textId="7FC3C136" w:rsidR="000A7589" w:rsidRPr="00771C0F" w:rsidRDefault="00771C0F" w:rsidP="008A6F97">
      <w:pPr>
        <w:spacing w:line="300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10.10 – 10.30</w:t>
      </w:r>
      <w:r w:rsidR="000E3D60" w:rsidRPr="00771C0F">
        <w:rPr>
          <w:b/>
          <w:bCs/>
          <w:lang w:val="en-US"/>
        </w:rPr>
        <w:t xml:space="preserve"> </w:t>
      </w:r>
      <w:r w:rsidR="000E3D60" w:rsidRPr="00771C0F">
        <w:rPr>
          <w:b/>
          <w:bCs/>
          <w:lang w:val="en-US"/>
        </w:rPr>
        <w:tab/>
      </w:r>
      <w:r w:rsidR="000E3D60" w:rsidRPr="00771C0F">
        <w:rPr>
          <w:b/>
          <w:bCs/>
          <w:lang w:val="en-US"/>
        </w:rPr>
        <w:tab/>
      </w:r>
      <w:r w:rsidR="0096656D" w:rsidRPr="0096656D">
        <w:rPr>
          <w:b/>
          <w:lang w:val="en-US"/>
        </w:rPr>
        <w:t>Interactive Discussion</w:t>
      </w:r>
    </w:p>
    <w:p w14:paraId="4B5A7B80" w14:textId="355C10DA" w:rsidR="0020377A" w:rsidRPr="00771C0F" w:rsidRDefault="000A7589" w:rsidP="00771C0F">
      <w:pPr>
        <w:spacing w:line="300" w:lineRule="auto"/>
        <w:ind w:left="2160"/>
        <w:jc w:val="both"/>
        <w:rPr>
          <w:b/>
          <w:lang w:val="en-US"/>
        </w:rPr>
      </w:pPr>
      <w:r w:rsidRPr="00771C0F">
        <w:rPr>
          <w:lang w:val="en-US"/>
        </w:rPr>
        <w:t xml:space="preserve">Moderator: </w:t>
      </w:r>
      <w:r w:rsidR="00771C0F" w:rsidRPr="00771C0F">
        <w:rPr>
          <w:i/>
          <w:iCs/>
          <w:lang w:val="en-US"/>
        </w:rPr>
        <w:t>Uwe Fritsche</w:t>
      </w:r>
      <w:r w:rsidR="007C70F5" w:rsidRPr="007C70F5">
        <w:rPr>
          <w:i/>
          <w:color w:val="000000"/>
        </w:rPr>
        <w:t>, IEA Bioenergy</w:t>
      </w:r>
    </w:p>
    <w:p w14:paraId="6940B7A3" w14:textId="77777777" w:rsidR="0020377A" w:rsidRPr="00771C0F" w:rsidRDefault="0020377A" w:rsidP="0020377A">
      <w:pPr>
        <w:tabs>
          <w:tab w:val="left" w:pos="1843"/>
        </w:tabs>
        <w:jc w:val="both"/>
        <w:rPr>
          <w:b/>
          <w:sz w:val="20"/>
          <w:szCs w:val="20"/>
          <w:lang w:val="en-US"/>
        </w:rPr>
      </w:pPr>
    </w:p>
    <w:p w14:paraId="72D1D5C2" w14:textId="77777777" w:rsidR="0020377A" w:rsidRPr="00771C0F" w:rsidRDefault="0020377A" w:rsidP="002D5B03">
      <w:pPr>
        <w:ind w:right="-68"/>
        <w:jc w:val="center"/>
        <w:rPr>
          <w:b/>
          <w:sz w:val="16"/>
          <w:szCs w:val="16"/>
          <w:lang w:val="en-US"/>
        </w:rPr>
      </w:pPr>
    </w:p>
    <w:p w14:paraId="770262BE" w14:textId="77777777" w:rsidR="00636C41" w:rsidRPr="00771C0F" w:rsidRDefault="00636C41" w:rsidP="005806A1">
      <w:pPr>
        <w:pStyle w:val="ListParagraph"/>
        <w:ind w:right="-68"/>
        <w:jc w:val="both"/>
        <w:rPr>
          <w:bCs/>
        </w:rPr>
      </w:pPr>
      <w:bookmarkStart w:id="0" w:name="_GoBack"/>
      <w:bookmarkEnd w:id="0"/>
    </w:p>
    <w:sectPr w:rsidR="00636C41" w:rsidRPr="00771C0F" w:rsidSect="00164AA3">
      <w:headerReference w:type="even" r:id="rId9"/>
      <w:headerReference w:type="default" r:id="rId10"/>
      <w:footerReference w:type="even" r:id="rId11"/>
      <w:pgSz w:w="11907" w:h="16840" w:code="9"/>
      <w:pgMar w:top="2070" w:right="927" w:bottom="1170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FBA14" w14:textId="77777777" w:rsidR="008D77CF" w:rsidRDefault="008D77CF">
      <w:r>
        <w:separator/>
      </w:r>
    </w:p>
  </w:endnote>
  <w:endnote w:type="continuationSeparator" w:id="0">
    <w:p w14:paraId="341070C9" w14:textId="77777777" w:rsidR="008D77CF" w:rsidRDefault="008D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621B8" w14:textId="77777777" w:rsidR="0098606F" w:rsidRDefault="0098606F" w:rsidP="00292F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A6D02" w14:textId="77777777" w:rsidR="008D77CF" w:rsidRDefault="008D77CF">
      <w:r>
        <w:separator/>
      </w:r>
    </w:p>
  </w:footnote>
  <w:footnote w:type="continuationSeparator" w:id="0">
    <w:p w14:paraId="694532A7" w14:textId="77777777" w:rsidR="008D77CF" w:rsidRDefault="008D7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A3B4A" w14:textId="77777777" w:rsidR="0098606F" w:rsidRPr="007D0325" w:rsidRDefault="0098606F" w:rsidP="00760C48">
    <w:pPr>
      <w:pStyle w:val="Header"/>
      <w:ind w:hanging="480"/>
    </w:pPr>
  </w:p>
  <w:p w14:paraId="39A187E2" w14:textId="77777777" w:rsidR="0098606F" w:rsidRDefault="009860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BDF65" w14:textId="77777777" w:rsidR="0098606F" w:rsidRPr="007D0325" w:rsidRDefault="00E6570A" w:rsidP="00E6570A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 wp14:anchorId="021DED86" wp14:editId="512DE055">
          <wp:simplePos x="0" y="0"/>
          <wp:positionH relativeFrom="column">
            <wp:posOffset>3832860</wp:posOffset>
          </wp:positionH>
          <wp:positionV relativeFrom="paragraph">
            <wp:posOffset>201930</wp:posOffset>
          </wp:positionV>
          <wp:extent cx="2390775" cy="51435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E28">
      <w:rPr>
        <w:noProof/>
        <w:lang w:val="en-US" w:eastAsia="zh-CN"/>
      </w:rPr>
      <w:drawing>
        <wp:inline distT="0" distB="0" distL="0" distR="0" wp14:anchorId="6803EEA0" wp14:editId="79E6677C">
          <wp:extent cx="2038350" cy="7143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94"/>
                  <a:stretch/>
                </pic:blipFill>
                <pic:spPr bwMode="auto">
                  <a:xfrm>
                    <a:off x="0" y="0"/>
                    <a:ext cx="20383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65E28" w:rsidRPr="00165E28">
      <w:rPr>
        <w:color w:val="0000FF"/>
      </w:rPr>
      <w:t xml:space="preserve"> </w:t>
    </w:r>
    <w:r w:rsidR="00165E28">
      <w:rPr>
        <w:color w:val="0000FF"/>
      </w:rPr>
      <w:t xml:space="preserve">              </w:t>
    </w:r>
    <w:r>
      <w:rPr>
        <w:noProof/>
        <w:lang w:val="en-US"/>
      </w:rPr>
      <w:t xml:space="preserve">                                </w:t>
    </w:r>
    <w:r w:rsidR="00165E28">
      <w:rPr>
        <w:color w:val="0000FF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72B8"/>
    <w:multiLevelType w:val="hybridMultilevel"/>
    <w:tmpl w:val="7ED423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32304F2"/>
    <w:multiLevelType w:val="hybridMultilevel"/>
    <w:tmpl w:val="FDFEA4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7853789"/>
    <w:multiLevelType w:val="hybridMultilevel"/>
    <w:tmpl w:val="108084F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78C472E"/>
    <w:multiLevelType w:val="hybridMultilevel"/>
    <w:tmpl w:val="09507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244"/>
    <w:multiLevelType w:val="hybridMultilevel"/>
    <w:tmpl w:val="1C80BD52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5" w15:restartNumberingAfterBreak="0">
    <w:nsid w:val="1DE80F7E"/>
    <w:multiLevelType w:val="hybridMultilevel"/>
    <w:tmpl w:val="C6D469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0994F18"/>
    <w:multiLevelType w:val="hybridMultilevel"/>
    <w:tmpl w:val="DD6CFB1A"/>
    <w:lvl w:ilvl="0" w:tplc="08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7" w15:restartNumberingAfterBreak="0">
    <w:nsid w:val="267E6C03"/>
    <w:multiLevelType w:val="hybridMultilevel"/>
    <w:tmpl w:val="E0780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7CD"/>
    <w:multiLevelType w:val="hybridMultilevel"/>
    <w:tmpl w:val="E69EC49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DEF697D"/>
    <w:multiLevelType w:val="multilevel"/>
    <w:tmpl w:val="5B9AAC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30"/>
      <w:numFmt w:val="decimal"/>
      <w:lvlText w:val="%1.%2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4320"/>
        </w:tabs>
        <w:ind w:left="4320" w:hanging="21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0" w15:restartNumberingAfterBreak="0">
    <w:nsid w:val="33C12FA2"/>
    <w:multiLevelType w:val="hybridMultilevel"/>
    <w:tmpl w:val="31028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7B58"/>
    <w:multiLevelType w:val="hybridMultilevel"/>
    <w:tmpl w:val="4BCAE4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9C5D13"/>
    <w:multiLevelType w:val="hybridMultilevel"/>
    <w:tmpl w:val="EEE44C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601E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6529B"/>
    <w:multiLevelType w:val="hybridMultilevel"/>
    <w:tmpl w:val="7E8A077C"/>
    <w:lvl w:ilvl="0" w:tplc="3C7248C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3C0044"/>
    <w:multiLevelType w:val="hybridMultilevel"/>
    <w:tmpl w:val="7F12734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50E82D99"/>
    <w:multiLevelType w:val="hybridMultilevel"/>
    <w:tmpl w:val="95FA2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E69C6"/>
    <w:multiLevelType w:val="hybridMultilevel"/>
    <w:tmpl w:val="2D3E278E"/>
    <w:lvl w:ilvl="0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7" w15:restartNumberingAfterBreak="0">
    <w:nsid w:val="52F241E9"/>
    <w:multiLevelType w:val="hybridMultilevel"/>
    <w:tmpl w:val="A4DC3E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55C93F4C"/>
    <w:multiLevelType w:val="hybridMultilevel"/>
    <w:tmpl w:val="F10E4BB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5E703F85"/>
    <w:multiLevelType w:val="hybridMultilevel"/>
    <w:tmpl w:val="0F42B40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67200870"/>
    <w:multiLevelType w:val="hybridMultilevel"/>
    <w:tmpl w:val="3A565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43927"/>
    <w:multiLevelType w:val="hybridMultilevel"/>
    <w:tmpl w:val="EB300F44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22" w15:restartNumberingAfterBreak="0">
    <w:nsid w:val="7D521782"/>
    <w:multiLevelType w:val="hybridMultilevel"/>
    <w:tmpl w:val="3BF8F0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0"/>
  </w:num>
  <w:num w:numId="10">
    <w:abstractNumId w:val="17"/>
  </w:num>
  <w:num w:numId="11">
    <w:abstractNumId w:val="2"/>
  </w:num>
  <w:num w:numId="12">
    <w:abstractNumId w:val="7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11"/>
  </w:num>
  <w:num w:numId="17">
    <w:abstractNumId w:val="18"/>
  </w:num>
  <w:num w:numId="18">
    <w:abstractNumId w:val="3"/>
  </w:num>
  <w:num w:numId="19">
    <w:abstractNumId w:val="10"/>
  </w:num>
  <w:num w:numId="20">
    <w:abstractNumId w:val="0"/>
  </w:num>
  <w:num w:numId="21">
    <w:abstractNumId w:val="16"/>
  </w:num>
  <w:num w:numId="22">
    <w:abstractNumId w:val="22"/>
  </w:num>
  <w:num w:numId="23">
    <w:abstractNumId w:val="5"/>
  </w:num>
  <w:num w:numId="24">
    <w:abstractNumId w:val="8"/>
  </w:num>
  <w:num w:numId="2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E"/>
    <w:rsid w:val="000004FA"/>
    <w:rsid w:val="00005C9A"/>
    <w:rsid w:val="00023732"/>
    <w:rsid w:val="0003211A"/>
    <w:rsid w:val="0003752E"/>
    <w:rsid w:val="00041202"/>
    <w:rsid w:val="000451F7"/>
    <w:rsid w:val="00051841"/>
    <w:rsid w:val="000526DF"/>
    <w:rsid w:val="00053624"/>
    <w:rsid w:val="00057FBD"/>
    <w:rsid w:val="000710C4"/>
    <w:rsid w:val="000741EC"/>
    <w:rsid w:val="0007424C"/>
    <w:rsid w:val="000756E8"/>
    <w:rsid w:val="00096E34"/>
    <w:rsid w:val="000A7589"/>
    <w:rsid w:val="000A7AB7"/>
    <w:rsid w:val="000B2125"/>
    <w:rsid w:val="000B41A7"/>
    <w:rsid w:val="000B643A"/>
    <w:rsid w:val="000B71D1"/>
    <w:rsid w:val="000C0A74"/>
    <w:rsid w:val="000C5A18"/>
    <w:rsid w:val="000C7384"/>
    <w:rsid w:val="000D5989"/>
    <w:rsid w:val="000E3D60"/>
    <w:rsid w:val="000E4459"/>
    <w:rsid w:val="000F2FDE"/>
    <w:rsid w:val="000F5C0E"/>
    <w:rsid w:val="000F7AB1"/>
    <w:rsid w:val="00104B34"/>
    <w:rsid w:val="001069C4"/>
    <w:rsid w:val="00110A9D"/>
    <w:rsid w:val="00112A4F"/>
    <w:rsid w:val="00127C92"/>
    <w:rsid w:val="00141AFC"/>
    <w:rsid w:val="00142E2B"/>
    <w:rsid w:val="00143EDD"/>
    <w:rsid w:val="00144486"/>
    <w:rsid w:val="00155B31"/>
    <w:rsid w:val="0016050C"/>
    <w:rsid w:val="00162772"/>
    <w:rsid w:val="00164AA3"/>
    <w:rsid w:val="00165E28"/>
    <w:rsid w:val="001708BE"/>
    <w:rsid w:val="001714AB"/>
    <w:rsid w:val="0017625D"/>
    <w:rsid w:val="00176B13"/>
    <w:rsid w:val="00176DB8"/>
    <w:rsid w:val="001C157A"/>
    <w:rsid w:val="001C59FE"/>
    <w:rsid w:val="001C5BCF"/>
    <w:rsid w:val="001D0ADC"/>
    <w:rsid w:val="001D0FBE"/>
    <w:rsid w:val="001D3BF2"/>
    <w:rsid w:val="001E1DE1"/>
    <w:rsid w:val="001E6BA7"/>
    <w:rsid w:val="001F6B0A"/>
    <w:rsid w:val="002017DE"/>
    <w:rsid w:val="0020377A"/>
    <w:rsid w:val="002040E7"/>
    <w:rsid w:val="002044D5"/>
    <w:rsid w:val="00217BDF"/>
    <w:rsid w:val="00243CA9"/>
    <w:rsid w:val="00245EAA"/>
    <w:rsid w:val="002531B1"/>
    <w:rsid w:val="00257E48"/>
    <w:rsid w:val="0026004C"/>
    <w:rsid w:val="00261FF4"/>
    <w:rsid w:val="0026387A"/>
    <w:rsid w:val="002654F9"/>
    <w:rsid w:val="00267C48"/>
    <w:rsid w:val="002725C9"/>
    <w:rsid w:val="0027496A"/>
    <w:rsid w:val="002828C1"/>
    <w:rsid w:val="0028621F"/>
    <w:rsid w:val="0028700E"/>
    <w:rsid w:val="00292FEC"/>
    <w:rsid w:val="002952E7"/>
    <w:rsid w:val="002A0809"/>
    <w:rsid w:val="002A3694"/>
    <w:rsid w:val="002A7F80"/>
    <w:rsid w:val="002B0E6B"/>
    <w:rsid w:val="002B2B44"/>
    <w:rsid w:val="002B2F65"/>
    <w:rsid w:val="002C0CBF"/>
    <w:rsid w:val="002C427D"/>
    <w:rsid w:val="002C54B4"/>
    <w:rsid w:val="002C6F52"/>
    <w:rsid w:val="002D5B03"/>
    <w:rsid w:val="002D6380"/>
    <w:rsid w:val="002E40A4"/>
    <w:rsid w:val="002E423A"/>
    <w:rsid w:val="002E4686"/>
    <w:rsid w:val="002E77B4"/>
    <w:rsid w:val="002F7131"/>
    <w:rsid w:val="00302C1E"/>
    <w:rsid w:val="00302FE2"/>
    <w:rsid w:val="00303F86"/>
    <w:rsid w:val="00304835"/>
    <w:rsid w:val="003079B0"/>
    <w:rsid w:val="0031335A"/>
    <w:rsid w:val="00321D8F"/>
    <w:rsid w:val="003260B6"/>
    <w:rsid w:val="00327F17"/>
    <w:rsid w:val="00331F82"/>
    <w:rsid w:val="003329F4"/>
    <w:rsid w:val="003342E2"/>
    <w:rsid w:val="0033502E"/>
    <w:rsid w:val="0034034B"/>
    <w:rsid w:val="0034098C"/>
    <w:rsid w:val="00342305"/>
    <w:rsid w:val="00343150"/>
    <w:rsid w:val="00352795"/>
    <w:rsid w:val="00371859"/>
    <w:rsid w:val="00375396"/>
    <w:rsid w:val="00384413"/>
    <w:rsid w:val="0038510F"/>
    <w:rsid w:val="00385F32"/>
    <w:rsid w:val="003A3C66"/>
    <w:rsid w:val="003A7C33"/>
    <w:rsid w:val="003B06F4"/>
    <w:rsid w:val="003B3DC7"/>
    <w:rsid w:val="003B47D9"/>
    <w:rsid w:val="003B54BF"/>
    <w:rsid w:val="003C1CA1"/>
    <w:rsid w:val="003C48A4"/>
    <w:rsid w:val="003C5B5F"/>
    <w:rsid w:val="003D1D78"/>
    <w:rsid w:val="003D202D"/>
    <w:rsid w:val="003D59BD"/>
    <w:rsid w:val="003E36FC"/>
    <w:rsid w:val="003E3A14"/>
    <w:rsid w:val="003E4AD4"/>
    <w:rsid w:val="003E6628"/>
    <w:rsid w:val="003F73D6"/>
    <w:rsid w:val="004019DF"/>
    <w:rsid w:val="00403441"/>
    <w:rsid w:val="00404074"/>
    <w:rsid w:val="00406DD5"/>
    <w:rsid w:val="004148B4"/>
    <w:rsid w:val="00423D53"/>
    <w:rsid w:val="004306AB"/>
    <w:rsid w:val="00431538"/>
    <w:rsid w:val="00434DA4"/>
    <w:rsid w:val="004417FB"/>
    <w:rsid w:val="00447415"/>
    <w:rsid w:val="004503B6"/>
    <w:rsid w:val="00452271"/>
    <w:rsid w:val="00454E42"/>
    <w:rsid w:val="0045717E"/>
    <w:rsid w:val="004609EB"/>
    <w:rsid w:val="00461489"/>
    <w:rsid w:val="00462D23"/>
    <w:rsid w:val="0046447F"/>
    <w:rsid w:val="00470C82"/>
    <w:rsid w:val="00473923"/>
    <w:rsid w:val="00474CF7"/>
    <w:rsid w:val="00477B27"/>
    <w:rsid w:val="00480F9D"/>
    <w:rsid w:val="0048175C"/>
    <w:rsid w:val="0048486F"/>
    <w:rsid w:val="00485359"/>
    <w:rsid w:val="00486056"/>
    <w:rsid w:val="0048693E"/>
    <w:rsid w:val="00493CF0"/>
    <w:rsid w:val="004943DE"/>
    <w:rsid w:val="00496A00"/>
    <w:rsid w:val="00497F58"/>
    <w:rsid w:val="004A00EF"/>
    <w:rsid w:val="004A0B40"/>
    <w:rsid w:val="004A69F0"/>
    <w:rsid w:val="004B2AB6"/>
    <w:rsid w:val="004B4C6C"/>
    <w:rsid w:val="004D1FEB"/>
    <w:rsid w:val="004D30F5"/>
    <w:rsid w:val="004D6C14"/>
    <w:rsid w:val="004E1745"/>
    <w:rsid w:val="004E194D"/>
    <w:rsid w:val="004F29A0"/>
    <w:rsid w:val="004F3A65"/>
    <w:rsid w:val="00505CF3"/>
    <w:rsid w:val="0051244D"/>
    <w:rsid w:val="00512E70"/>
    <w:rsid w:val="005132F8"/>
    <w:rsid w:val="005206D1"/>
    <w:rsid w:val="00522FB2"/>
    <w:rsid w:val="00524476"/>
    <w:rsid w:val="00527702"/>
    <w:rsid w:val="00532FC0"/>
    <w:rsid w:val="00533C27"/>
    <w:rsid w:val="00536357"/>
    <w:rsid w:val="00536E84"/>
    <w:rsid w:val="005376C4"/>
    <w:rsid w:val="00540C42"/>
    <w:rsid w:val="00551AA7"/>
    <w:rsid w:val="00553D3D"/>
    <w:rsid w:val="00557B78"/>
    <w:rsid w:val="00574675"/>
    <w:rsid w:val="005806A1"/>
    <w:rsid w:val="005975F1"/>
    <w:rsid w:val="005A2AFD"/>
    <w:rsid w:val="005A3514"/>
    <w:rsid w:val="005A5D71"/>
    <w:rsid w:val="005A6D9C"/>
    <w:rsid w:val="005B0277"/>
    <w:rsid w:val="005B15EC"/>
    <w:rsid w:val="005B7820"/>
    <w:rsid w:val="005C3205"/>
    <w:rsid w:val="005D0DD5"/>
    <w:rsid w:val="005D312C"/>
    <w:rsid w:val="005D5FD4"/>
    <w:rsid w:val="005E2054"/>
    <w:rsid w:val="005E563C"/>
    <w:rsid w:val="005F3696"/>
    <w:rsid w:val="0060442C"/>
    <w:rsid w:val="00606ADA"/>
    <w:rsid w:val="0060715C"/>
    <w:rsid w:val="006129DA"/>
    <w:rsid w:val="0062428B"/>
    <w:rsid w:val="00624ACA"/>
    <w:rsid w:val="006252E9"/>
    <w:rsid w:val="00630206"/>
    <w:rsid w:val="006329E9"/>
    <w:rsid w:val="00636C41"/>
    <w:rsid w:val="00640B1B"/>
    <w:rsid w:val="00641791"/>
    <w:rsid w:val="00644882"/>
    <w:rsid w:val="00651F8A"/>
    <w:rsid w:val="00671675"/>
    <w:rsid w:val="00675D33"/>
    <w:rsid w:val="0068003C"/>
    <w:rsid w:val="00681470"/>
    <w:rsid w:val="00686A53"/>
    <w:rsid w:val="006879C4"/>
    <w:rsid w:val="006A0F3A"/>
    <w:rsid w:val="006A2C24"/>
    <w:rsid w:val="006A30F8"/>
    <w:rsid w:val="006A42FC"/>
    <w:rsid w:val="006A586F"/>
    <w:rsid w:val="006B38F9"/>
    <w:rsid w:val="006B6208"/>
    <w:rsid w:val="006C0FFD"/>
    <w:rsid w:val="006D21DD"/>
    <w:rsid w:val="006D2512"/>
    <w:rsid w:val="006D4271"/>
    <w:rsid w:val="006D4381"/>
    <w:rsid w:val="006D79CD"/>
    <w:rsid w:val="006F62CC"/>
    <w:rsid w:val="007045F7"/>
    <w:rsid w:val="007051AF"/>
    <w:rsid w:val="00717EA3"/>
    <w:rsid w:val="00721B09"/>
    <w:rsid w:val="007237E3"/>
    <w:rsid w:val="007239BC"/>
    <w:rsid w:val="00724B82"/>
    <w:rsid w:val="00724CDE"/>
    <w:rsid w:val="00733869"/>
    <w:rsid w:val="00746FD6"/>
    <w:rsid w:val="00757A57"/>
    <w:rsid w:val="00760C48"/>
    <w:rsid w:val="00762AF1"/>
    <w:rsid w:val="00771C0F"/>
    <w:rsid w:val="007779BA"/>
    <w:rsid w:val="007808F0"/>
    <w:rsid w:val="007848DD"/>
    <w:rsid w:val="007855C5"/>
    <w:rsid w:val="00785E62"/>
    <w:rsid w:val="00790361"/>
    <w:rsid w:val="007913DC"/>
    <w:rsid w:val="007940C6"/>
    <w:rsid w:val="00796355"/>
    <w:rsid w:val="007B12CA"/>
    <w:rsid w:val="007B27DF"/>
    <w:rsid w:val="007B5B38"/>
    <w:rsid w:val="007C1589"/>
    <w:rsid w:val="007C2ACF"/>
    <w:rsid w:val="007C70F5"/>
    <w:rsid w:val="007C7728"/>
    <w:rsid w:val="007D0325"/>
    <w:rsid w:val="007D3E6A"/>
    <w:rsid w:val="007D50CB"/>
    <w:rsid w:val="007E2533"/>
    <w:rsid w:val="007E26F5"/>
    <w:rsid w:val="007E3BAE"/>
    <w:rsid w:val="007E7E54"/>
    <w:rsid w:val="00801127"/>
    <w:rsid w:val="00811712"/>
    <w:rsid w:val="00812C30"/>
    <w:rsid w:val="00813B79"/>
    <w:rsid w:val="00816CA8"/>
    <w:rsid w:val="00820263"/>
    <w:rsid w:val="00822783"/>
    <w:rsid w:val="00825B6E"/>
    <w:rsid w:val="00831B2B"/>
    <w:rsid w:val="00831C89"/>
    <w:rsid w:val="00834564"/>
    <w:rsid w:val="00842912"/>
    <w:rsid w:val="00845B8C"/>
    <w:rsid w:val="008467D3"/>
    <w:rsid w:val="00852DC3"/>
    <w:rsid w:val="00855E77"/>
    <w:rsid w:val="00860B94"/>
    <w:rsid w:val="008612AF"/>
    <w:rsid w:val="00864C13"/>
    <w:rsid w:val="00867DB7"/>
    <w:rsid w:val="0087369A"/>
    <w:rsid w:val="0088453F"/>
    <w:rsid w:val="00885F43"/>
    <w:rsid w:val="008A6F97"/>
    <w:rsid w:val="008B3CE1"/>
    <w:rsid w:val="008C0FF2"/>
    <w:rsid w:val="008C498B"/>
    <w:rsid w:val="008C4E41"/>
    <w:rsid w:val="008D157F"/>
    <w:rsid w:val="008D357F"/>
    <w:rsid w:val="008D77CF"/>
    <w:rsid w:val="008E0577"/>
    <w:rsid w:val="008E4F45"/>
    <w:rsid w:val="008F69F7"/>
    <w:rsid w:val="0090111A"/>
    <w:rsid w:val="009035CC"/>
    <w:rsid w:val="009113DC"/>
    <w:rsid w:val="00911668"/>
    <w:rsid w:val="00912670"/>
    <w:rsid w:val="009243F7"/>
    <w:rsid w:val="00927F63"/>
    <w:rsid w:val="00931D33"/>
    <w:rsid w:val="00944511"/>
    <w:rsid w:val="00944932"/>
    <w:rsid w:val="00947126"/>
    <w:rsid w:val="00950988"/>
    <w:rsid w:val="00952AB9"/>
    <w:rsid w:val="0096656D"/>
    <w:rsid w:val="00967326"/>
    <w:rsid w:val="00967820"/>
    <w:rsid w:val="00972019"/>
    <w:rsid w:val="00973606"/>
    <w:rsid w:val="00973F4B"/>
    <w:rsid w:val="0098082E"/>
    <w:rsid w:val="0098220D"/>
    <w:rsid w:val="0098606F"/>
    <w:rsid w:val="009932B2"/>
    <w:rsid w:val="009968D1"/>
    <w:rsid w:val="009A04B9"/>
    <w:rsid w:val="009A0ED5"/>
    <w:rsid w:val="009A2DA7"/>
    <w:rsid w:val="009B006C"/>
    <w:rsid w:val="009B5CFC"/>
    <w:rsid w:val="009C398E"/>
    <w:rsid w:val="009E4066"/>
    <w:rsid w:val="009E4CB6"/>
    <w:rsid w:val="009F04C1"/>
    <w:rsid w:val="009F08A8"/>
    <w:rsid w:val="00A00890"/>
    <w:rsid w:val="00A06264"/>
    <w:rsid w:val="00A07CCE"/>
    <w:rsid w:val="00A07FD5"/>
    <w:rsid w:val="00A27B71"/>
    <w:rsid w:val="00A27D46"/>
    <w:rsid w:val="00A32BC6"/>
    <w:rsid w:val="00A33678"/>
    <w:rsid w:val="00A3667B"/>
    <w:rsid w:val="00A43BCC"/>
    <w:rsid w:val="00A5146E"/>
    <w:rsid w:val="00A527C5"/>
    <w:rsid w:val="00A5488D"/>
    <w:rsid w:val="00A57104"/>
    <w:rsid w:val="00A6000D"/>
    <w:rsid w:val="00A63F73"/>
    <w:rsid w:val="00A64201"/>
    <w:rsid w:val="00A64BA8"/>
    <w:rsid w:val="00A73D02"/>
    <w:rsid w:val="00A82736"/>
    <w:rsid w:val="00A87078"/>
    <w:rsid w:val="00A91575"/>
    <w:rsid w:val="00A95684"/>
    <w:rsid w:val="00AB1B2E"/>
    <w:rsid w:val="00AB1BA8"/>
    <w:rsid w:val="00AB7EDF"/>
    <w:rsid w:val="00AD0B47"/>
    <w:rsid w:val="00AD5A16"/>
    <w:rsid w:val="00AD7A4D"/>
    <w:rsid w:val="00AE11ED"/>
    <w:rsid w:val="00AE15B2"/>
    <w:rsid w:val="00AE41F1"/>
    <w:rsid w:val="00AE74EE"/>
    <w:rsid w:val="00AF1A86"/>
    <w:rsid w:val="00AF28E0"/>
    <w:rsid w:val="00B02039"/>
    <w:rsid w:val="00B06731"/>
    <w:rsid w:val="00B113B3"/>
    <w:rsid w:val="00B2083D"/>
    <w:rsid w:val="00B31C7B"/>
    <w:rsid w:val="00B328ED"/>
    <w:rsid w:val="00B35EDA"/>
    <w:rsid w:val="00B42CFB"/>
    <w:rsid w:val="00B42DB4"/>
    <w:rsid w:val="00B43385"/>
    <w:rsid w:val="00B57FB0"/>
    <w:rsid w:val="00B610B0"/>
    <w:rsid w:val="00B614A8"/>
    <w:rsid w:val="00B74210"/>
    <w:rsid w:val="00B75DCD"/>
    <w:rsid w:val="00B85397"/>
    <w:rsid w:val="00B950F0"/>
    <w:rsid w:val="00BA3ECC"/>
    <w:rsid w:val="00BA74C9"/>
    <w:rsid w:val="00BB0EDD"/>
    <w:rsid w:val="00BB23A2"/>
    <w:rsid w:val="00BB3052"/>
    <w:rsid w:val="00BB586B"/>
    <w:rsid w:val="00BB6E2B"/>
    <w:rsid w:val="00BB7896"/>
    <w:rsid w:val="00BB7C35"/>
    <w:rsid w:val="00BC02A7"/>
    <w:rsid w:val="00BC34E2"/>
    <w:rsid w:val="00BC491C"/>
    <w:rsid w:val="00BC62F5"/>
    <w:rsid w:val="00BD4ADD"/>
    <w:rsid w:val="00BD5F65"/>
    <w:rsid w:val="00BD6125"/>
    <w:rsid w:val="00BE1A84"/>
    <w:rsid w:val="00BF02AF"/>
    <w:rsid w:val="00C00807"/>
    <w:rsid w:val="00C07CBE"/>
    <w:rsid w:val="00C1042F"/>
    <w:rsid w:val="00C1419F"/>
    <w:rsid w:val="00C1611E"/>
    <w:rsid w:val="00C22208"/>
    <w:rsid w:val="00C23273"/>
    <w:rsid w:val="00C27AD7"/>
    <w:rsid w:val="00C35547"/>
    <w:rsid w:val="00C359F1"/>
    <w:rsid w:val="00C400B4"/>
    <w:rsid w:val="00C404FB"/>
    <w:rsid w:val="00C41633"/>
    <w:rsid w:val="00C42D01"/>
    <w:rsid w:val="00C50335"/>
    <w:rsid w:val="00C518BD"/>
    <w:rsid w:val="00C5198D"/>
    <w:rsid w:val="00C57646"/>
    <w:rsid w:val="00C60FB8"/>
    <w:rsid w:val="00C64E66"/>
    <w:rsid w:val="00C6571D"/>
    <w:rsid w:val="00C673D1"/>
    <w:rsid w:val="00C710DC"/>
    <w:rsid w:val="00C75A7E"/>
    <w:rsid w:val="00C81329"/>
    <w:rsid w:val="00C83370"/>
    <w:rsid w:val="00C8365A"/>
    <w:rsid w:val="00C860FF"/>
    <w:rsid w:val="00C93197"/>
    <w:rsid w:val="00CA1825"/>
    <w:rsid w:val="00CA41FF"/>
    <w:rsid w:val="00CA6D13"/>
    <w:rsid w:val="00CC325C"/>
    <w:rsid w:val="00CC47DF"/>
    <w:rsid w:val="00CC5BCC"/>
    <w:rsid w:val="00CD24DF"/>
    <w:rsid w:val="00CE6CE9"/>
    <w:rsid w:val="00CE7EBC"/>
    <w:rsid w:val="00CF3C9F"/>
    <w:rsid w:val="00CF6E34"/>
    <w:rsid w:val="00D00115"/>
    <w:rsid w:val="00D109C2"/>
    <w:rsid w:val="00D14614"/>
    <w:rsid w:val="00D17D13"/>
    <w:rsid w:val="00D209EB"/>
    <w:rsid w:val="00D259E5"/>
    <w:rsid w:val="00D261A2"/>
    <w:rsid w:val="00D271F1"/>
    <w:rsid w:val="00D3065D"/>
    <w:rsid w:val="00D33D8B"/>
    <w:rsid w:val="00D35F19"/>
    <w:rsid w:val="00D36376"/>
    <w:rsid w:val="00D545CB"/>
    <w:rsid w:val="00D56606"/>
    <w:rsid w:val="00D70D22"/>
    <w:rsid w:val="00D8097D"/>
    <w:rsid w:val="00D84D9F"/>
    <w:rsid w:val="00D877F5"/>
    <w:rsid w:val="00D950F3"/>
    <w:rsid w:val="00DA0C37"/>
    <w:rsid w:val="00DA4672"/>
    <w:rsid w:val="00DA7BC7"/>
    <w:rsid w:val="00DB4D96"/>
    <w:rsid w:val="00DB7576"/>
    <w:rsid w:val="00DC3BB2"/>
    <w:rsid w:val="00DD7620"/>
    <w:rsid w:val="00DD7A1A"/>
    <w:rsid w:val="00DD7A3F"/>
    <w:rsid w:val="00DF200F"/>
    <w:rsid w:val="00DF2A50"/>
    <w:rsid w:val="00DF3E5C"/>
    <w:rsid w:val="00E019B1"/>
    <w:rsid w:val="00E0220B"/>
    <w:rsid w:val="00E047C1"/>
    <w:rsid w:val="00E06906"/>
    <w:rsid w:val="00E0692E"/>
    <w:rsid w:val="00E12782"/>
    <w:rsid w:val="00E1281C"/>
    <w:rsid w:val="00E15B94"/>
    <w:rsid w:val="00E22248"/>
    <w:rsid w:val="00E23F22"/>
    <w:rsid w:val="00E2560E"/>
    <w:rsid w:val="00E25C67"/>
    <w:rsid w:val="00E27B57"/>
    <w:rsid w:val="00E30049"/>
    <w:rsid w:val="00E40C30"/>
    <w:rsid w:val="00E43E79"/>
    <w:rsid w:val="00E44D3B"/>
    <w:rsid w:val="00E51755"/>
    <w:rsid w:val="00E561C0"/>
    <w:rsid w:val="00E5622E"/>
    <w:rsid w:val="00E6255D"/>
    <w:rsid w:val="00E62BE1"/>
    <w:rsid w:val="00E6541A"/>
    <w:rsid w:val="00E6570A"/>
    <w:rsid w:val="00E7456C"/>
    <w:rsid w:val="00E90F32"/>
    <w:rsid w:val="00EA15D6"/>
    <w:rsid w:val="00EA59C0"/>
    <w:rsid w:val="00EB1D2B"/>
    <w:rsid w:val="00EB784A"/>
    <w:rsid w:val="00EB7EE0"/>
    <w:rsid w:val="00EC1E19"/>
    <w:rsid w:val="00EC55C7"/>
    <w:rsid w:val="00ED3F66"/>
    <w:rsid w:val="00EE47A6"/>
    <w:rsid w:val="00EE53C7"/>
    <w:rsid w:val="00EE70FF"/>
    <w:rsid w:val="00EF02A7"/>
    <w:rsid w:val="00EF5037"/>
    <w:rsid w:val="00EF5271"/>
    <w:rsid w:val="00EF5644"/>
    <w:rsid w:val="00F008E5"/>
    <w:rsid w:val="00F00F43"/>
    <w:rsid w:val="00F10252"/>
    <w:rsid w:val="00F11547"/>
    <w:rsid w:val="00F14ABA"/>
    <w:rsid w:val="00F2268E"/>
    <w:rsid w:val="00F226AF"/>
    <w:rsid w:val="00F2457B"/>
    <w:rsid w:val="00F250C0"/>
    <w:rsid w:val="00F2631E"/>
    <w:rsid w:val="00F32332"/>
    <w:rsid w:val="00F374A4"/>
    <w:rsid w:val="00F420AB"/>
    <w:rsid w:val="00F42ECE"/>
    <w:rsid w:val="00F44E0B"/>
    <w:rsid w:val="00F50DF2"/>
    <w:rsid w:val="00F52599"/>
    <w:rsid w:val="00F61C94"/>
    <w:rsid w:val="00F63483"/>
    <w:rsid w:val="00F658C1"/>
    <w:rsid w:val="00F67EDD"/>
    <w:rsid w:val="00F7010D"/>
    <w:rsid w:val="00F72978"/>
    <w:rsid w:val="00F74D15"/>
    <w:rsid w:val="00F82907"/>
    <w:rsid w:val="00F83B21"/>
    <w:rsid w:val="00F91B43"/>
    <w:rsid w:val="00F93DD7"/>
    <w:rsid w:val="00F948C4"/>
    <w:rsid w:val="00F94BE8"/>
    <w:rsid w:val="00F9696C"/>
    <w:rsid w:val="00FB560F"/>
    <w:rsid w:val="00FB61E6"/>
    <w:rsid w:val="00FC0583"/>
    <w:rsid w:val="00FC5164"/>
    <w:rsid w:val="00FC60B3"/>
    <w:rsid w:val="00FC7AB9"/>
    <w:rsid w:val="00FD1EF3"/>
    <w:rsid w:val="00FE1E21"/>
    <w:rsid w:val="00FE50ED"/>
    <w:rsid w:val="00FE76EB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AE7F3BA"/>
  <w15:docId w15:val="{B886C104-C65E-4742-BFAA-3D7995D0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83D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27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B27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27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7B27DF"/>
  </w:style>
  <w:style w:type="paragraph" w:styleId="BodyTextIndent">
    <w:name w:val="Body Text Indent"/>
    <w:basedOn w:val="Normal"/>
    <w:link w:val="BodyTextIndentChar"/>
    <w:rsid w:val="00B2083D"/>
    <w:pPr>
      <w:ind w:left="2880" w:hanging="2880"/>
    </w:pPr>
    <w:rPr>
      <w:b/>
      <w:lang w:val="en-GB"/>
    </w:rPr>
  </w:style>
  <w:style w:type="paragraph" w:customStyle="1" w:styleId="CharCharChar">
    <w:name w:val="Char Char Char"/>
    <w:basedOn w:val="Normal"/>
    <w:rsid w:val="00D261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semiHidden/>
    <w:rsid w:val="00CA6D13"/>
    <w:rPr>
      <w:sz w:val="16"/>
      <w:szCs w:val="16"/>
    </w:rPr>
  </w:style>
  <w:style w:type="paragraph" w:styleId="CommentText">
    <w:name w:val="annotation text"/>
    <w:basedOn w:val="Normal"/>
    <w:semiHidden/>
    <w:rsid w:val="00CA6D1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A6D13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4D6C14"/>
    <w:rPr>
      <w:b/>
      <w:sz w:val="24"/>
      <w:szCs w:val="24"/>
      <w:lang w:val="en-GB" w:eastAsia="it-IT"/>
    </w:rPr>
  </w:style>
  <w:style w:type="paragraph" w:customStyle="1" w:styleId="Default">
    <w:name w:val="Default"/>
    <w:rsid w:val="00AD7A4D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D7A4D"/>
    <w:pPr>
      <w:spacing w:after="200" w:line="276" w:lineRule="auto"/>
      <w:ind w:left="720"/>
      <w:contextualSpacing/>
    </w:pPr>
    <w:rPr>
      <w:rFonts w:eastAsia="Calibri"/>
      <w:szCs w:val="22"/>
      <w:lang w:val="en-US" w:eastAsia="en-US"/>
    </w:rPr>
  </w:style>
  <w:style w:type="paragraph" w:customStyle="1" w:styleId="ListParagraph1">
    <w:name w:val="List Paragraph1"/>
    <w:basedOn w:val="Normal"/>
    <w:uiPriority w:val="99"/>
    <w:rsid w:val="00BD6125"/>
    <w:pPr>
      <w:spacing w:after="120" w:line="276" w:lineRule="auto"/>
      <w:ind w:left="720"/>
    </w:pPr>
    <w:rPr>
      <w:rFonts w:ascii="Arial" w:eastAsia="Calibri" w:hAnsi="Arial" w:cs="Arial"/>
      <w:color w:val="000000"/>
      <w:lang w:val="en-US" w:eastAsia="en-US"/>
    </w:rPr>
  </w:style>
  <w:style w:type="paragraph" w:styleId="Revision">
    <w:name w:val="Revision"/>
    <w:hidden/>
    <w:uiPriority w:val="99"/>
    <w:semiHidden/>
    <w:rsid w:val="00303F86"/>
    <w:rPr>
      <w:sz w:val="24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867DB7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67DB7"/>
    <w:rPr>
      <w:rFonts w:ascii="Consolas" w:eastAsiaTheme="minorHAnsi" w:hAnsi="Consolas" w:cstheme="minorBidi"/>
      <w:sz w:val="21"/>
      <w:szCs w:val="21"/>
    </w:rPr>
  </w:style>
  <w:style w:type="character" w:styleId="Hyperlink">
    <w:name w:val="Hyperlink"/>
    <w:uiPriority w:val="99"/>
    <w:semiHidden/>
    <w:unhideWhenUsed/>
    <w:rsid w:val="002828C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216B0-8037-4632-888A-DBE3A966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444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4th Steering Committee of the Global Bioenergy Partnership (GBEP)</vt:lpstr>
    </vt:vector>
  </TitlesOfParts>
  <Company>FAO of the UN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Steering Committee of the Global Bioenergy Partnership (GBEP)</dc:title>
  <dc:creator>Morese, Michela (NRCB)</dc:creator>
  <cp:lastModifiedBy>Morese, Michela (NRC)</cp:lastModifiedBy>
  <cp:revision>7</cp:revision>
  <cp:lastPrinted>2015-07-02T08:00:00Z</cp:lastPrinted>
  <dcterms:created xsi:type="dcterms:W3CDTF">2017-04-28T11:49:00Z</dcterms:created>
  <dcterms:modified xsi:type="dcterms:W3CDTF">2017-05-08T14:34:00Z</dcterms:modified>
</cp:coreProperties>
</file>