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1DF21" w14:textId="0E341B39" w:rsidR="003C5760" w:rsidRDefault="003C5760" w:rsidP="003C5760">
      <w:pPr>
        <w:pStyle w:val="Default"/>
        <w:rPr>
          <w:b/>
          <w:bCs/>
        </w:rPr>
      </w:pPr>
      <w:r w:rsidRPr="001B2D4E">
        <w:rPr>
          <w:noProof/>
        </w:rPr>
        <w:drawing>
          <wp:anchor distT="0" distB="0" distL="114300" distR="114300" simplePos="0" relativeHeight="251661312" behindDoc="0" locked="0" layoutInCell="1" allowOverlap="1" wp14:anchorId="4711F026" wp14:editId="41E417B6">
            <wp:simplePos x="0" y="0"/>
            <wp:positionH relativeFrom="margin">
              <wp:posOffset>4800600</wp:posOffset>
            </wp:positionH>
            <wp:positionV relativeFrom="paragraph">
              <wp:posOffset>121920</wp:posOffset>
            </wp:positionV>
            <wp:extent cx="846455" cy="542925"/>
            <wp:effectExtent l="0" t="0" r="0" b="9525"/>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IED_standard_logo(blu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46455" cy="5429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4572D4E0" wp14:editId="3F540024">
            <wp:simplePos x="0" y="0"/>
            <wp:positionH relativeFrom="margin">
              <wp:posOffset>2964180</wp:posOffset>
            </wp:positionH>
            <wp:positionV relativeFrom="paragraph">
              <wp:posOffset>168275</wp:posOffset>
            </wp:positionV>
            <wp:extent cx="569595" cy="542925"/>
            <wp:effectExtent l="0" t="0" r="1905" b="9525"/>
            <wp:wrapTight wrapText="bothSides">
              <wp:wrapPolygon edited="0">
                <wp:start x="6502" y="0"/>
                <wp:lineTo x="0" y="3032"/>
                <wp:lineTo x="0" y="17432"/>
                <wp:lineTo x="5779" y="21221"/>
                <wp:lineTo x="14448" y="21221"/>
                <wp:lineTo x="20950" y="16674"/>
                <wp:lineTo x="20950" y="3789"/>
                <wp:lineTo x="13726" y="0"/>
                <wp:lineTo x="6502" y="0"/>
              </wp:wrapPolygon>
            </wp:wrapTight>
            <wp:docPr id="2" name="Picture 2" descr="Image result for IUC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UCN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959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5A988AF" wp14:editId="01F11A03">
            <wp:extent cx="2209800" cy="892391"/>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titl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3084" cy="917947"/>
                    </a:xfrm>
                    <a:prstGeom prst="rect">
                      <a:avLst/>
                    </a:prstGeom>
                  </pic:spPr>
                </pic:pic>
              </a:graphicData>
            </a:graphic>
          </wp:inline>
        </w:drawing>
      </w:r>
    </w:p>
    <w:p w14:paraId="2D4DB89A" w14:textId="030DEED9" w:rsidR="00577FA2" w:rsidRDefault="00577FA2" w:rsidP="00642F22">
      <w:pPr>
        <w:pStyle w:val="Default"/>
        <w:jc w:val="center"/>
        <w:rPr>
          <w:b/>
          <w:bCs/>
        </w:rPr>
      </w:pPr>
      <w:r w:rsidRPr="00642F22">
        <w:rPr>
          <w:b/>
          <w:bCs/>
        </w:rPr>
        <w:t>Forests, farms and livelihoods: The scale</w:t>
      </w:r>
      <w:r w:rsidR="00DA63B2" w:rsidRPr="00642F22">
        <w:rPr>
          <w:b/>
          <w:bCs/>
        </w:rPr>
        <w:t>,</w:t>
      </w:r>
      <w:r w:rsidRPr="00642F22">
        <w:rPr>
          <w:b/>
          <w:bCs/>
        </w:rPr>
        <w:t xml:space="preserve"> scope</w:t>
      </w:r>
      <w:r w:rsidR="00D5008D" w:rsidRPr="00642F22">
        <w:rPr>
          <w:b/>
          <w:bCs/>
        </w:rPr>
        <w:t>,</w:t>
      </w:r>
      <w:r w:rsidRPr="00642F22">
        <w:rPr>
          <w:b/>
          <w:bCs/>
        </w:rPr>
        <w:t xml:space="preserve"> </w:t>
      </w:r>
      <w:r w:rsidR="00DA63B2" w:rsidRPr="00642F22">
        <w:rPr>
          <w:b/>
          <w:bCs/>
        </w:rPr>
        <w:t xml:space="preserve">and rights </w:t>
      </w:r>
      <w:r w:rsidRPr="00642F22">
        <w:rPr>
          <w:b/>
          <w:bCs/>
        </w:rPr>
        <w:t>matter</w:t>
      </w:r>
    </w:p>
    <w:p w14:paraId="607451A1" w14:textId="77777777" w:rsidR="00F71CBE" w:rsidRPr="00642F22" w:rsidRDefault="00F71CBE" w:rsidP="00642F22">
      <w:pPr>
        <w:pStyle w:val="Default"/>
        <w:jc w:val="center"/>
        <w:rPr>
          <w:b/>
          <w:bCs/>
        </w:rPr>
      </w:pPr>
    </w:p>
    <w:p w14:paraId="696C8093" w14:textId="77777777" w:rsidR="00F71CBE" w:rsidRDefault="00642F22" w:rsidP="00F71CBE">
      <w:pPr>
        <w:pStyle w:val="Default"/>
        <w:jc w:val="center"/>
        <w:rPr>
          <w:b/>
          <w:bCs/>
          <w:sz w:val="20"/>
          <w:szCs w:val="20"/>
        </w:rPr>
      </w:pPr>
      <w:r w:rsidRPr="00642F22">
        <w:rPr>
          <w:b/>
          <w:bCs/>
          <w:sz w:val="20"/>
          <w:szCs w:val="20"/>
        </w:rPr>
        <w:t xml:space="preserve">2017 FLARE network meeting </w:t>
      </w:r>
      <w:r>
        <w:rPr>
          <w:b/>
          <w:bCs/>
          <w:sz w:val="20"/>
          <w:szCs w:val="20"/>
        </w:rPr>
        <w:t>w</w:t>
      </w:r>
      <w:r w:rsidRPr="00642F22">
        <w:rPr>
          <w:b/>
          <w:bCs/>
          <w:sz w:val="20"/>
          <w:szCs w:val="20"/>
        </w:rPr>
        <w:t>orkshop</w:t>
      </w:r>
    </w:p>
    <w:p w14:paraId="30D3CA75" w14:textId="7DA8A0FC" w:rsidR="00F71CBE" w:rsidRDefault="00F71CBE" w:rsidP="00091C44">
      <w:pPr>
        <w:pStyle w:val="Default"/>
        <w:jc w:val="center"/>
        <w:rPr>
          <w:b/>
          <w:bCs/>
          <w:sz w:val="20"/>
          <w:szCs w:val="20"/>
        </w:rPr>
      </w:pPr>
      <w:r>
        <w:rPr>
          <w:b/>
          <w:bCs/>
          <w:sz w:val="20"/>
          <w:szCs w:val="20"/>
        </w:rPr>
        <w:t xml:space="preserve"> </w:t>
      </w:r>
      <w:r w:rsidR="00642F22" w:rsidRPr="00642F22">
        <w:rPr>
          <w:b/>
          <w:bCs/>
          <w:sz w:val="20"/>
          <w:szCs w:val="20"/>
        </w:rPr>
        <w:t>Monday, 02 October 2017</w:t>
      </w:r>
      <w:r w:rsidR="00642F22">
        <w:rPr>
          <w:b/>
          <w:bCs/>
          <w:sz w:val="20"/>
          <w:szCs w:val="20"/>
        </w:rPr>
        <w:t xml:space="preserve"> </w:t>
      </w:r>
      <w:r>
        <w:rPr>
          <w:b/>
          <w:bCs/>
          <w:sz w:val="20"/>
          <w:szCs w:val="20"/>
        </w:rPr>
        <w:t>(9</w:t>
      </w:r>
      <w:r w:rsidR="00091C44">
        <w:rPr>
          <w:b/>
          <w:bCs/>
          <w:sz w:val="20"/>
          <w:szCs w:val="20"/>
        </w:rPr>
        <w:t>.00</w:t>
      </w:r>
      <w:r>
        <w:rPr>
          <w:b/>
          <w:bCs/>
          <w:sz w:val="20"/>
          <w:szCs w:val="20"/>
        </w:rPr>
        <w:t xml:space="preserve"> to 12</w:t>
      </w:r>
      <w:r w:rsidR="00091C44">
        <w:rPr>
          <w:b/>
          <w:bCs/>
          <w:sz w:val="20"/>
          <w:szCs w:val="20"/>
        </w:rPr>
        <w:t>.00</w:t>
      </w:r>
      <w:r>
        <w:rPr>
          <w:b/>
          <w:bCs/>
          <w:sz w:val="20"/>
          <w:szCs w:val="20"/>
        </w:rPr>
        <w:t>)</w:t>
      </w:r>
      <w:r w:rsidR="00642F22" w:rsidRPr="00642F22">
        <w:rPr>
          <w:b/>
          <w:bCs/>
          <w:sz w:val="20"/>
          <w:szCs w:val="20"/>
        </w:rPr>
        <w:t xml:space="preserve"> </w:t>
      </w:r>
    </w:p>
    <w:p w14:paraId="35E7CDDC" w14:textId="480AC6AA" w:rsidR="00642F22" w:rsidRPr="00642F22" w:rsidRDefault="00642F22" w:rsidP="00F71CBE">
      <w:pPr>
        <w:pStyle w:val="Default"/>
        <w:jc w:val="center"/>
        <w:rPr>
          <w:rFonts w:asciiTheme="minorHAnsi" w:hAnsiTheme="minorHAnsi"/>
          <w:b/>
          <w:bCs/>
          <w:sz w:val="20"/>
          <w:szCs w:val="20"/>
        </w:rPr>
      </w:pPr>
      <w:r w:rsidRPr="00642F22">
        <w:rPr>
          <w:b/>
          <w:bCs/>
          <w:sz w:val="20"/>
          <w:szCs w:val="20"/>
        </w:rPr>
        <w:t>Stockholm, Sweden</w:t>
      </w:r>
    </w:p>
    <w:p w14:paraId="726F9AFE" w14:textId="77777777" w:rsidR="00642F22" w:rsidRDefault="00642F22" w:rsidP="006F3F5D">
      <w:pPr>
        <w:pStyle w:val="Default"/>
        <w:rPr>
          <w:rFonts w:asciiTheme="minorHAnsi" w:hAnsiTheme="minorHAnsi"/>
          <w:sz w:val="22"/>
          <w:szCs w:val="22"/>
        </w:rPr>
      </w:pPr>
    </w:p>
    <w:p w14:paraId="0768416E" w14:textId="77777777" w:rsidR="00E207F0" w:rsidRPr="00352054" w:rsidRDefault="00E207F0" w:rsidP="00B76F1E">
      <w:pPr>
        <w:pStyle w:val="Default"/>
        <w:rPr>
          <w:rFonts w:asciiTheme="minorHAnsi" w:hAnsiTheme="minorHAnsi"/>
          <w:b/>
          <w:bCs/>
          <w:sz w:val="22"/>
          <w:szCs w:val="22"/>
        </w:rPr>
      </w:pPr>
      <w:r w:rsidRPr="00352054">
        <w:rPr>
          <w:rFonts w:asciiTheme="minorHAnsi" w:hAnsiTheme="minorHAnsi"/>
          <w:b/>
          <w:bCs/>
          <w:sz w:val="22"/>
          <w:szCs w:val="22"/>
        </w:rPr>
        <w:t>S</w:t>
      </w:r>
      <w:r w:rsidR="006F3F5D" w:rsidRPr="00352054">
        <w:rPr>
          <w:rFonts w:asciiTheme="minorHAnsi" w:hAnsiTheme="minorHAnsi"/>
          <w:b/>
          <w:bCs/>
          <w:sz w:val="22"/>
          <w:szCs w:val="22"/>
        </w:rPr>
        <w:t>p</w:t>
      </w:r>
      <w:r w:rsidRPr="00352054">
        <w:rPr>
          <w:rFonts w:asciiTheme="minorHAnsi" w:hAnsiTheme="minorHAnsi"/>
          <w:b/>
          <w:bCs/>
          <w:sz w:val="22"/>
          <w:szCs w:val="22"/>
        </w:rPr>
        <w:t>ecific aim</w:t>
      </w:r>
      <w:r w:rsidR="00B76F1E">
        <w:rPr>
          <w:rFonts w:asciiTheme="minorHAnsi" w:hAnsiTheme="minorHAnsi"/>
          <w:b/>
          <w:bCs/>
          <w:sz w:val="22"/>
          <w:szCs w:val="22"/>
        </w:rPr>
        <w:t>s</w:t>
      </w:r>
      <w:r w:rsidRPr="00352054">
        <w:rPr>
          <w:rFonts w:asciiTheme="minorHAnsi" w:hAnsiTheme="minorHAnsi"/>
          <w:b/>
          <w:bCs/>
          <w:sz w:val="22"/>
          <w:szCs w:val="22"/>
        </w:rPr>
        <w:t xml:space="preserve"> of </w:t>
      </w:r>
      <w:r w:rsidR="00B76F1E">
        <w:rPr>
          <w:rFonts w:asciiTheme="minorHAnsi" w:hAnsiTheme="minorHAnsi"/>
          <w:b/>
          <w:bCs/>
          <w:sz w:val="22"/>
          <w:szCs w:val="22"/>
        </w:rPr>
        <w:t xml:space="preserve">the </w:t>
      </w:r>
      <w:r w:rsidRPr="00352054">
        <w:rPr>
          <w:rFonts w:asciiTheme="minorHAnsi" w:hAnsiTheme="minorHAnsi"/>
          <w:b/>
          <w:bCs/>
          <w:sz w:val="22"/>
          <w:szCs w:val="22"/>
        </w:rPr>
        <w:t>workshop</w:t>
      </w:r>
    </w:p>
    <w:p w14:paraId="45A2DC65" w14:textId="77777777" w:rsidR="00E207F0" w:rsidRPr="00352054" w:rsidRDefault="00E207F0" w:rsidP="00090B59">
      <w:pPr>
        <w:pStyle w:val="Default"/>
        <w:numPr>
          <w:ilvl w:val="0"/>
          <w:numId w:val="3"/>
        </w:numPr>
        <w:jc w:val="both"/>
        <w:rPr>
          <w:rFonts w:asciiTheme="minorHAnsi" w:hAnsiTheme="minorHAnsi"/>
          <w:sz w:val="22"/>
          <w:szCs w:val="22"/>
        </w:rPr>
      </w:pPr>
      <w:r w:rsidRPr="00352054">
        <w:rPr>
          <w:rFonts w:asciiTheme="minorHAnsi" w:hAnsiTheme="minorHAnsi"/>
          <w:sz w:val="22"/>
          <w:szCs w:val="22"/>
        </w:rPr>
        <w:t xml:space="preserve">Provide </w:t>
      </w:r>
      <w:r w:rsidR="00267F68">
        <w:rPr>
          <w:rFonts w:asciiTheme="minorHAnsi" w:hAnsiTheme="minorHAnsi"/>
          <w:sz w:val="22"/>
          <w:szCs w:val="22"/>
        </w:rPr>
        <w:t>a platform</w:t>
      </w:r>
      <w:r w:rsidRPr="00352054">
        <w:rPr>
          <w:rFonts w:asciiTheme="minorHAnsi" w:hAnsiTheme="minorHAnsi"/>
          <w:sz w:val="22"/>
          <w:szCs w:val="22"/>
        </w:rPr>
        <w:t xml:space="preserve"> to discuss the opportunities and challenges in estimating aggregate numbers and values attributed to small-scale </w:t>
      </w:r>
      <w:r w:rsidR="00036580" w:rsidRPr="00352054">
        <w:rPr>
          <w:rFonts w:asciiTheme="minorHAnsi" w:hAnsiTheme="minorHAnsi"/>
          <w:sz w:val="22"/>
          <w:szCs w:val="22"/>
        </w:rPr>
        <w:t xml:space="preserve">forest and </w:t>
      </w:r>
      <w:r w:rsidR="003B5770">
        <w:rPr>
          <w:rFonts w:asciiTheme="minorHAnsi" w:hAnsiTheme="minorHAnsi"/>
          <w:sz w:val="22"/>
          <w:szCs w:val="22"/>
        </w:rPr>
        <w:t xml:space="preserve">agricultural </w:t>
      </w:r>
      <w:r w:rsidRPr="00352054">
        <w:rPr>
          <w:rFonts w:asciiTheme="minorHAnsi" w:hAnsiTheme="minorHAnsi"/>
          <w:sz w:val="22"/>
          <w:szCs w:val="22"/>
        </w:rPr>
        <w:t>producers at national and global level</w:t>
      </w:r>
      <w:r w:rsidR="003B5770">
        <w:rPr>
          <w:rFonts w:asciiTheme="minorHAnsi" w:hAnsiTheme="minorHAnsi"/>
          <w:sz w:val="22"/>
          <w:szCs w:val="22"/>
        </w:rPr>
        <w:t xml:space="preserve"> and correlate them with rights of the producers to better illuminate how to direct support and measure impact of small producers on </w:t>
      </w:r>
      <w:r w:rsidR="00197947" w:rsidRPr="00352054">
        <w:rPr>
          <w:rFonts w:asciiTheme="minorHAnsi" w:hAnsiTheme="minorHAnsi"/>
          <w:sz w:val="22"/>
          <w:szCs w:val="22"/>
        </w:rPr>
        <w:t>SDGs</w:t>
      </w:r>
      <w:r w:rsidR="003B5770">
        <w:rPr>
          <w:rFonts w:asciiTheme="minorHAnsi" w:hAnsiTheme="minorHAnsi"/>
          <w:sz w:val="22"/>
          <w:szCs w:val="22"/>
        </w:rPr>
        <w:t xml:space="preserve"> and climate mitigation and adaptation</w:t>
      </w:r>
      <w:r w:rsidR="00044C95">
        <w:rPr>
          <w:rFonts w:asciiTheme="minorHAnsi" w:hAnsiTheme="minorHAnsi"/>
          <w:sz w:val="22"/>
          <w:szCs w:val="22"/>
        </w:rPr>
        <w:t>.</w:t>
      </w:r>
    </w:p>
    <w:p w14:paraId="13EDFAD1" w14:textId="77777777" w:rsidR="00197947" w:rsidRPr="00352054" w:rsidRDefault="00197947" w:rsidP="00090B59">
      <w:pPr>
        <w:pStyle w:val="Default"/>
        <w:numPr>
          <w:ilvl w:val="0"/>
          <w:numId w:val="3"/>
        </w:numPr>
        <w:jc w:val="both"/>
        <w:rPr>
          <w:rFonts w:asciiTheme="minorHAnsi" w:hAnsiTheme="minorHAnsi"/>
          <w:sz w:val="22"/>
          <w:szCs w:val="22"/>
        </w:rPr>
      </w:pPr>
      <w:r w:rsidRPr="00352054">
        <w:rPr>
          <w:rFonts w:asciiTheme="minorHAnsi" w:hAnsiTheme="minorHAnsi"/>
          <w:sz w:val="22"/>
          <w:szCs w:val="22"/>
        </w:rPr>
        <w:t>Share the efforts being made by FFF, IIED and IUCN for estimating the aggregate numbers above</w:t>
      </w:r>
      <w:r w:rsidR="003B5770">
        <w:rPr>
          <w:rFonts w:asciiTheme="minorHAnsi" w:hAnsiTheme="minorHAnsi"/>
          <w:sz w:val="22"/>
          <w:szCs w:val="22"/>
        </w:rPr>
        <w:t xml:space="preserve"> and correlation with rights</w:t>
      </w:r>
      <w:r w:rsidR="00044C95">
        <w:rPr>
          <w:rFonts w:asciiTheme="minorHAnsi" w:hAnsiTheme="minorHAnsi"/>
          <w:sz w:val="22"/>
          <w:szCs w:val="22"/>
        </w:rPr>
        <w:t>.</w:t>
      </w:r>
    </w:p>
    <w:p w14:paraId="2BBBDB86" w14:textId="77777777" w:rsidR="00E207F0" w:rsidRPr="00352054" w:rsidRDefault="00E207F0" w:rsidP="00090B59">
      <w:pPr>
        <w:pStyle w:val="Default"/>
        <w:numPr>
          <w:ilvl w:val="0"/>
          <w:numId w:val="3"/>
        </w:numPr>
        <w:jc w:val="both"/>
        <w:rPr>
          <w:rFonts w:asciiTheme="minorHAnsi" w:hAnsiTheme="minorHAnsi"/>
          <w:sz w:val="22"/>
          <w:szCs w:val="22"/>
        </w:rPr>
      </w:pPr>
      <w:r w:rsidRPr="00352054">
        <w:rPr>
          <w:rFonts w:asciiTheme="minorHAnsi" w:hAnsiTheme="minorHAnsi"/>
          <w:sz w:val="22"/>
          <w:szCs w:val="22"/>
        </w:rPr>
        <w:t xml:space="preserve">Discuss the </w:t>
      </w:r>
      <w:r w:rsidR="00197947" w:rsidRPr="00352054">
        <w:rPr>
          <w:rFonts w:asciiTheme="minorHAnsi" w:hAnsiTheme="minorHAnsi"/>
          <w:sz w:val="22"/>
          <w:szCs w:val="22"/>
        </w:rPr>
        <w:t xml:space="preserve">strategies for using existing data and </w:t>
      </w:r>
      <w:r w:rsidRPr="00352054">
        <w:rPr>
          <w:rFonts w:asciiTheme="minorHAnsi" w:hAnsiTheme="minorHAnsi"/>
          <w:sz w:val="22"/>
          <w:szCs w:val="22"/>
        </w:rPr>
        <w:t xml:space="preserve">generating more reliable </w:t>
      </w:r>
      <w:r w:rsidR="00197947" w:rsidRPr="00352054">
        <w:rPr>
          <w:rFonts w:asciiTheme="minorHAnsi" w:hAnsiTheme="minorHAnsi"/>
          <w:sz w:val="22"/>
          <w:szCs w:val="22"/>
        </w:rPr>
        <w:t>data</w:t>
      </w:r>
      <w:r w:rsidRPr="00352054">
        <w:rPr>
          <w:rFonts w:asciiTheme="minorHAnsi" w:hAnsiTheme="minorHAnsi"/>
          <w:sz w:val="22"/>
          <w:szCs w:val="22"/>
        </w:rPr>
        <w:t xml:space="preserve"> to influence decision-makers</w:t>
      </w:r>
      <w:r w:rsidR="00DA63B2">
        <w:rPr>
          <w:rFonts w:asciiTheme="minorHAnsi" w:hAnsiTheme="minorHAnsi"/>
          <w:sz w:val="22"/>
          <w:szCs w:val="22"/>
        </w:rPr>
        <w:t>, specifically around correlating tenure, use and enterprise rights of small producers with a range of outcomes of relevance to Sustainable Development Goals, Climate Mitigation and Adaptation</w:t>
      </w:r>
      <w:r w:rsidRPr="00352054">
        <w:rPr>
          <w:rFonts w:asciiTheme="minorHAnsi" w:hAnsiTheme="minorHAnsi"/>
          <w:sz w:val="22"/>
          <w:szCs w:val="22"/>
        </w:rPr>
        <w:t xml:space="preserve"> to direct policy and investment measures to </w:t>
      </w:r>
      <w:r w:rsidR="00DA63B2">
        <w:rPr>
          <w:rFonts w:asciiTheme="minorHAnsi" w:hAnsiTheme="minorHAnsi"/>
          <w:sz w:val="22"/>
          <w:szCs w:val="22"/>
        </w:rPr>
        <w:t xml:space="preserve">more effectively </w:t>
      </w:r>
      <w:r w:rsidRPr="00352054">
        <w:rPr>
          <w:rFonts w:asciiTheme="minorHAnsi" w:hAnsiTheme="minorHAnsi"/>
          <w:sz w:val="22"/>
          <w:szCs w:val="22"/>
        </w:rPr>
        <w:t>benefit the small</w:t>
      </w:r>
      <w:r w:rsidR="00DA63B2">
        <w:rPr>
          <w:rFonts w:asciiTheme="minorHAnsi" w:hAnsiTheme="minorHAnsi"/>
          <w:sz w:val="22"/>
          <w:szCs w:val="22"/>
        </w:rPr>
        <w:t>-</w:t>
      </w:r>
      <w:r w:rsidRPr="00352054">
        <w:rPr>
          <w:rFonts w:asciiTheme="minorHAnsi" w:hAnsiTheme="minorHAnsi"/>
          <w:sz w:val="22"/>
          <w:szCs w:val="22"/>
        </w:rPr>
        <w:t>scale</w:t>
      </w:r>
      <w:r w:rsidR="00C34EF6">
        <w:rPr>
          <w:rFonts w:asciiTheme="minorHAnsi" w:hAnsiTheme="minorHAnsi"/>
          <w:sz w:val="22"/>
          <w:szCs w:val="22"/>
        </w:rPr>
        <w:t xml:space="preserve"> agricultural </w:t>
      </w:r>
      <w:r w:rsidRPr="00352054">
        <w:rPr>
          <w:rFonts w:asciiTheme="minorHAnsi" w:hAnsiTheme="minorHAnsi"/>
          <w:sz w:val="22"/>
          <w:szCs w:val="22"/>
        </w:rPr>
        <w:t xml:space="preserve"> and </w:t>
      </w:r>
      <w:r w:rsidR="00C34EF6">
        <w:rPr>
          <w:rFonts w:asciiTheme="minorHAnsi" w:hAnsiTheme="minorHAnsi"/>
          <w:sz w:val="22"/>
          <w:szCs w:val="22"/>
        </w:rPr>
        <w:t>forest</w:t>
      </w:r>
      <w:r w:rsidRPr="00352054">
        <w:rPr>
          <w:rFonts w:asciiTheme="minorHAnsi" w:hAnsiTheme="minorHAnsi"/>
          <w:sz w:val="22"/>
          <w:szCs w:val="22"/>
        </w:rPr>
        <w:t xml:space="preserve"> producers</w:t>
      </w:r>
      <w:r w:rsidR="00197947" w:rsidRPr="00352054">
        <w:rPr>
          <w:rFonts w:asciiTheme="minorHAnsi" w:hAnsiTheme="minorHAnsi"/>
          <w:sz w:val="22"/>
          <w:szCs w:val="22"/>
        </w:rPr>
        <w:t>.</w:t>
      </w:r>
    </w:p>
    <w:p w14:paraId="01474C33" w14:textId="77777777" w:rsidR="00035567" w:rsidRDefault="00035567" w:rsidP="00E207F0">
      <w:pPr>
        <w:pStyle w:val="Default"/>
        <w:rPr>
          <w:rFonts w:asciiTheme="minorHAnsi" w:hAnsiTheme="minorHAnsi"/>
          <w:b/>
          <w:bCs/>
          <w:sz w:val="22"/>
          <w:szCs w:val="22"/>
        </w:rPr>
      </w:pPr>
    </w:p>
    <w:p w14:paraId="5A4F0F04" w14:textId="645826BF" w:rsidR="00E6402A" w:rsidRDefault="00E6402A" w:rsidP="00577FA2">
      <w:pPr>
        <w:pStyle w:val="Default"/>
        <w:rPr>
          <w:rFonts w:asciiTheme="minorHAnsi" w:hAnsiTheme="minorHAnsi"/>
          <w:b/>
          <w:bCs/>
          <w:sz w:val="22"/>
          <w:szCs w:val="22"/>
        </w:rPr>
      </w:pPr>
      <w:bookmarkStart w:id="0" w:name="_GoBack"/>
      <w:bookmarkEnd w:id="0"/>
      <w:r>
        <w:rPr>
          <w:rFonts w:asciiTheme="minorHAnsi" w:hAnsiTheme="minorHAnsi"/>
          <w:b/>
          <w:bCs/>
          <w:sz w:val="22"/>
          <w:szCs w:val="22"/>
        </w:rPr>
        <w:t>Registration</w:t>
      </w:r>
    </w:p>
    <w:p w14:paraId="25FFE099" w14:textId="77777777" w:rsidR="00E6402A" w:rsidRDefault="00E6402A" w:rsidP="00577FA2">
      <w:pPr>
        <w:pStyle w:val="Default"/>
        <w:rPr>
          <w:rFonts w:asciiTheme="minorHAnsi" w:hAnsiTheme="minorHAnsi"/>
          <w:b/>
          <w:bCs/>
          <w:sz w:val="22"/>
          <w:szCs w:val="22"/>
        </w:rPr>
      </w:pPr>
    </w:p>
    <w:p w14:paraId="24D34D12" w14:textId="423AD87C" w:rsidR="00E6402A" w:rsidRPr="007B6A7D" w:rsidRDefault="00E6402A" w:rsidP="007B6A7D">
      <w:pPr>
        <w:pStyle w:val="Default"/>
        <w:jc w:val="both"/>
        <w:rPr>
          <w:rFonts w:asciiTheme="minorHAnsi" w:hAnsiTheme="minorHAnsi"/>
          <w:sz w:val="22"/>
          <w:szCs w:val="22"/>
        </w:rPr>
      </w:pPr>
      <w:r w:rsidRPr="007B6A7D">
        <w:rPr>
          <w:rFonts w:asciiTheme="minorHAnsi" w:hAnsiTheme="minorHAnsi"/>
          <w:sz w:val="22"/>
          <w:szCs w:val="22"/>
        </w:rPr>
        <w:t>The participants should register for the 2017 FLARE network meeting</w:t>
      </w:r>
      <w:r w:rsidR="007B6A7D" w:rsidRPr="007B6A7D">
        <w:rPr>
          <w:rFonts w:asciiTheme="minorHAnsi" w:hAnsiTheme="minorHAnsi"/>
          <w:sz w:val="22"/>
          <w:szCs w:val="22"/>
        </w:rPr>
        <w:t xml:space="preserve"> as indicated in the webpage </w:t>
      </w:r>
      <w:hyperlink r:id="rId8" w:history="1">
        <w:r w:rsidR="007B6A7D" w:rsidRPr="007B6A7D">
          <w:rPr>
            <w:rStyle w:val="Hyperlink"/>
            <w:rFonts w:asciiTheme="minorHAnsi" w:hAnsiTheme="minorHAnsi"/>
            <w:sz w:val="22"/>
            <w:szCs w:val="22"/>
          </w:rPr>
          <w:t>https://flare_2017.eventbrite.com</w:t>
        </w:r>
      </w:hyperlink>
      <w:r w:rsidR="007B6A7D" w:rsidRPr="007B6A7D">
        <w:rPr>
          <w:rFonts w:asciiTheme="minorHAnsi" w:hAnsiTheme="minorHAnsi"/>
          <w:sz w:val="22"/>
          <w:szCs w:val="22"/>
        </w:rPr>
        <w:t>.</w:t>
      </w:r>
      <w:r w:rsidR="007B6A7D">
        <w:rPr>
          <w:rFonts w:asciiTheme="minorHAnsi" w:hAnsiTheme="minorHAnsi"/>
          <w:sz w:val="22"/>
          <w:szCs w:val="22"/>
        </w:rPr>
        <w:t xml:space="preserve"> For attending this optional wor</w:t>
      </w:r>
      <w:r w:rsidR="007B6A7D" w:rsidRPr="007B6A7D">
        <w:rPr>
          <w:rFonts w:asciiTheme="minorHAnsi" w:hAnsiTheme="minorHAnsi"/>
          <w:sz w:val="22"/>
          <w:szCs w:val="22"/>
        </w:rPr>
        <w:t>kshop, participants should</w:t>
      </w:r>
      <w:r w:rsidRPr="007B6A7D">
        <w:rPr>
          <w:rFonts w:asciiTheme="minorHAnsi" w:hAnsiTheme="minorHAnsi"/>
          <w:sz w:val="22"/>
          <w:szCs w:val="22"/>
        </w:rPr>
        <w:t xml:space="preserve"> pay USD 50 extra while registering. </w:t>
      </w:r>
    </w:p>
    <w:p w14:paraId="39B0138E" w14:textId="77777777" w:rsidR="00E6402A" w:rsidRDefault="00E6402A" w:rsidP="00577FA2">
      <w:pPr>
        <w:pStyle w:val="Default"/>
        <w:rPr>
          <w:rFonts w:asciiTheme="minorHAnsi" w:hAnsiTheme="minorHAnsi"/>
          <w:b/>
          <w:bCs/>
          <w:sz w:val="22"/>
          <w:szCs w:val="22"/>
        </w:rPr>
      </w:pPr>
    </w:p>
    <w:p w14:paraId="14FABEDB" w14:textId="77777777" w:rsidR="00E207F0" w:rsidRDefault="00E207F0" w:rsidP="00577FA2">
      <w:pPr>
        <w:pStyle w:val="Default"/>
        <w:rPr>
          <w:rFonts w:asciiTheme="minorHAnsi" w:hAnsiTheme="minorHAnsi"/>
          <w:b/>
          <w:bCs/>
          <w:sz w:val="22"/>
          <w:szCs w:val="22"/>
        </w:rPr>
      </w:pPr>
      <w:r w:rsidRPr="00352054">
        <w:rPr>
          <w:rFonts w:asciiTheme="minorHAnsi" w:hAnsiTheme="minorHAnsi"/>
          <w:b/>
          <w:bCs/>
          <w:sz w:val="22"/>
          <w:szCs w:val="22"/>
        </w:rPr>
        <w:t>Key</w:t>
      </w:r>
      <w:r w:rsidR="00D5008D">
        <w:rPr>
          <w:rFonts w:asciiTheme="minorHAnsi" w:hAnsiTheme="minorHAnsi"/>
          <w:b/>
          <w:bCs/>
          <w:sz w:val="22"/>
          <w:szCs w:val="22"/>
        </w:rPr>
        <w:t xml:space="preserve"> knowledge, tool, skills</w:t>
      </w:r>
      <w:r w:rsidR="006F3F5D" w:rsidRPr="00352054">
        <w:rPr>
          <w:rFonts w:asciiTheme="minorHAnsi" w:hAnsiTheme="minorHAnsi"/>
          <w:b/>
          <w:bCs/>
          <w:sz w:val="22"/>
          <w:szCs w:val="22"/>
        </w:rPr>
        <w:t xml:space="preserve"> presented and acquired by participants</w:t>
      </w:r>
    </w:p>
    <w:p w14:paraId="50CFE433" w14:textId="77777777" w:rsidR="00A56D64" w:rsidRPr="00352054" w:rsidRDefault="00A56D64" w:rsidP="00F00AA1">
      <w:pPr>
        <w:pStyle w:val="Default"/>
        <w:jc w:val="both"/>
        <w:rPr>
          <w:rFonts w:asciiTheme="minorHAnsi" w:hAnsiTheme="minorHAnsi"/>
          <w:b/>
          <w:bCs/>
          <w:sz w:val="22"/>
          <w:szCs w:val="22"/>
        </w:rPr>
      </w:pPr>
    </w:p>
    <w:p w14:paraId="72788BDB" w14:textId="77777777" w:rsidR="00036580" w:rsidRDefault="00036580" w:rsidP="00F00AA1">
      <w:pPr>
        <w:pStyle w:val="ListParagraph"/>
        <w:widowControl w:val="0"/>
        <w:numPr>
          <w:ilvl w:val="0"/>
          <w:numId w:val="4"/>
        </w:numPr>
        <w:ind w:right="238"/>
        <w:jc w:val="both"/>
      </w:pPr>
      <w:r w:rsidRPr="00352054">
        <w:t xml:space="preserve">Knowledge gaps and </w:t>
      </w:r>
      <w:r w:rsidR="00FF11BD" w:rsidRPr="00352054">
        <w:t>tools and approaches</w:t>
      </w:r>
      <w:r w:rsidRPr="00352054">
        <w:t xml:space="preserve"> to take best advantage of </w:t>
      </w:r>
      <w:r w:rsidR="00FF11BD" w:rsidRPr="00352054">
        <w:t>emerging</w:t>
      </w:r>
      <w:r w:rsidRPr="00352054">
        <w:t xml:space="preserve"> opportunities in data gathering and analysis on the scale and scope of contribution of </w:t>
      </w:r>
      <w:r w:rsidRPr="00352054">
        <w:rPr>
          <w:rFonts w:asciiTheme="minorHAnsi" w:hAnsiTheme="minorHAnsi"/>
        </w:rPr>
        <w:t xml:space="preserve">small </w:t>
      </w:r>
      <w:r w:rsidR="00C34EF6">
        <w:rPr>
          <w:rFonts w:asciiTheme="minorHAnsi" w:hAnsiTheme="minorHAnsi"/>
        </w:rPr>
        <w:t xml:space="preserve">agricultural </w:t>
      </w:r>
      <w:r w:rsidRPr="00352054">
        <w:rPr>
          <w:rFonts w:asciiTheme="minorHAnsi" w:hAnsiTheme="minorHAnsi"/>
        </w:rPr>
        <w:t xml:space="preserve">and </w:t>
      </w:r>
      <w:r w:rsidR="00C34EF6">
        <w:rPr>
          <w:rFonts w:asciiTheme="minorHAnsi" w:hAnsiTheme="minorHAnsi"/>
        </w:rPr>
        <w:t>forest</w:t>
      </w:r>
      <w:r w:rsidRPr="00352054">
        <w:rPr>
          <w:rFonts w:asciiTheme="minorHAnsi" w:hAnsiTheme="minorHAnsi"/>
        </w:rPr>
        <w:t xml:space="preserve"> producers</w:t>
      </w:r>
      <w:r w:rsidR="003B5770">
        <w:rPr>
          <w:rFonts w:asciiTheme="minorHAnsi" w:hAnsiTheme="minorHAnsi"/>
        </w:rPr>
        <w:t xml:space="preserve"> and how to correlate outcomes of rights based approaches </w:t>
      </w:r>
      <w:r w:rsidR="00C34EF6">
        <w:rPr>
          <w:rFonts w:asciiTheme="minorHAnsi" w:hAnsiTheme="minorHAnsi"/>
        </w:rPr>
        <w:t xml:space="preserve">for small producers </w:t>
      </w:r>
      <w:r w:rsidR="003B5770">
        <w:rPr>
          <w:rFonts w:asciiTheme="minorHAnsi" w:hAnsiTheme="minorHAnsi"/>
        </w:rPr>
        <w:t>with outcomes on sustainable development goals, climate mitigation and adaptation etc.</w:t>
      </w:r>
      <w:r w:rsidRPr="00352054">
        <w:t xml:space="preserve"> </w:t>
      </w:r>
    </w:p>
    <w:p w14:paraId="159A4886" w14:textId="77777777" w:rsidR="00A500AE" w:rsidRPr="00352054" w:rsidRDefault="00A500AE" w:rsidP="00F00AA1">
      <w:pPr>
        <w:pStyle w:val="ListParagraph"/>
        <w:widowControl w:val="0"/>
        <w:numPr>
          <w:ilvl w:val="0"/>
          <w:numId w:val="4"/>
        </w:numPr>
        <w:ind w:right="238"/>
        <w:jc w:val="both"/>
      </w:pPr>
      <w:r>
        <w:t xml:space="preserve">Tools like Collect Mobile and </w:t>
      </w:r>
      <w:r w:rsidR="00267F68">
        <w:t xml:space="preserve">innovative </w:t>
      </w:r>
      <w:r>
        <w:t xml:space="preserve">survey approaches for </w:t>
      </w:r>
      <w:r w:rsidR="00267F68">
        <w:t xml:space="preserve">more </w:t>
      </w:r>
      <w:r>
        <w:t xml:space="preserve">efficient data collection. </w:t>
      </w:r>
    </w:p>
    <w:p w14:paraId="5ADCE8D0" w14:textId="77777777" w:rsidR="00036580" w:rsidRDefault="00036580" w:rsidP="00F00AA1">
      <w:pPr>
        <w:pStyle w:val="ListParagraph"/>
        <w:widowControl w:val="0"/>
        <w:numPr>
          <w:ilvl w:val="0"/>
          <w:numId w:val="4"/>
        </w:numPr>
        <w:ind w:right="238"/>
        <w:jc w:val="both"/>
      </w:pPr>
      <w:r w:rsidRPr="00352054">
        <w:t xml:space="preserve">Issues related to definitions and </w:t>
      </w:r>
      <w:r w:rsidR="00FF11BD" w:rsidRPr="00352054">
        <w:t xml:space="preserve">key elements </w:t>
      </w:r>
      <w:r w:rsidR="00B76F1E">
        <w:t xml:space="preserve">to be considered </w:t>
      </w:r>
      <w:r w:rsidR="00FF11BD" w:rsidRPr="00352054">
        <w:t xml:space="preserve">for </w:t>
      </w:r>
      <w:r w:rsidRPr="00352054">
        <w:t xml:space="preserve">harmonizing the definition of </w:t>
      </w:r>
      <w:r w:rsidRPr="00352054">
        <w:rPr>
          <w:rFonts w:asciiTheme="minorHAnsi" w:hAnsiTheme="minorHAnsi"/>
        </w:rPr>
        <w:t>small-scale</w:t>
      </w:r>
      <w:r w:rsidR="00C34EF6">
        <w:rPr>
          <w:rFonts w:asciiTheme="minorHAnsi" w:hAnsiTheme="minorHAnsi"/>
        </w:rPr>
        <w:t xml:space="preserve"> agricultural</w:t>
      </w:r>
      <w:r w:rsidRPr="00352054">
        <w:rPr>
          <w:rFonts w:asciiTheme="minorHAnsi" w:hAnsiTheme="minorHAnsi"/>
        </w:rPr>
        <w:t xml:space="preserve"> and </w:t>
      </w:r>
      <w:r w:rsidR="00090B59">
        <w:rPr>
          <w:rFonts w:asciiTheme="minorHAnsi" w:hAnsiTheme="minorHAnsi"/>
        </w:rPr>
        <w:t xml:space="preserve">forest </w:t>
      </w:r>
      <w:r w:rsidR="00090B59" w:rsidRPr="00352054">
        <w:rPr>
          <w:rFonts w:asciiTheme="minorHAnsi" w:hAnsiTheme="minorHAnsi"/>
        </w:rPr>
        <w:t>producers</w:t>
      </w:r>
      <w:r w:rsidR="00C34EF6">
        <w:rPr>
          <w:rFonts w:asciiTheme="minorHAnsi" w:hAnsiTheme="minorHAnsi"/>
        </w:rPr>
        <w:t xml:space="preserve"> and their rights</w:t>
      </w:r>
      <w:r w:rsidRPr="00352054">
        <w:t xml:space="preserve">, in the context of </w:t>
      </w:r>
      <w:r w:rsidR="00C34EF6">
        <w:t>outcomes related to SDGs and Climate Mitigation and Adaptation</w:t>
      </w:r>
      <w:r w:rsidRPr="00352054">
        <w:t>.</w:t>
      </w:r>
    </w:p>
    <w:p w14:paraId="67DC4CE0" w14:textId="77777777" w:rsidR="00B76F1E" w:rsidRPr="00352054" w:rsidRDefault="003B5770" w:rsidP="00F00AA1">
      <w:pPr>
        <w:pStyle w:val="ListParagraph"/>
        <w:widowControl w:val="0"/>
        <w:numPr>
          <w:ilvl w:val="0"/>
          <w:numId w:val="4"/>
        </w:numPr>
        <w:spacing w:after="0" w:line="240" w:lineRule="auto"/>
        <w:ind w:right="245"/>
        <w:jc w:val="both"/>
      </w:pPr>
      <w:r>
        <w:t>Opportunities around correlating an analysis of i</w:t>
      </w:r>
      <w:r w:rsidR="00A500AE">
        <w:t xml:space="preserve">nformation systems relevant to </w:t>
      </w:r>
      <w:r w:rsidR="00A500AE" w:rsidRPr="00352054">
        <w:rPr>
          <w:rFonts w:asciiTheme="minorHAnsi" w:hAnsiTheme="minorHAnsi"/>
        </w:rPr>
        <w:t xml:space="preserve">small-scale </w:t>
      </w:r>
      <w:r w:rsidR="00C34EF6">
        <w:rPr>
          <w:rFonts w:asciiTheme="minorHAnsi" w:hAnsiTheme="minorHAnsi"/>
        </w:rPr>
        <w:t xml:space="preserve">agricultural and forest </w:t>
      </w:r>
      <w:r w:rsidR="00A500AE" w:rsidRPr="00352054">
        <w:rPr>
          <w:rFonts w:asciiTheme="minorHAnsi" w:hAnsiTheme="minorHAnsi"/>
        </w:rPr>
        <w:t>producers</w:t>
      </w:r>
      <w:r>
        <w:rPr>
          <w:rFonts w:asciiTheme="minorHAnsi" w:hAnsiTheme="minorHAnsi"/>
        </w:rPr>
        <w:t>, with new emerging information on rights</w:t>
      </w:r>
      <w:r w:rsidR="00C34EF6">
        <w:rPr>
          <w:rFonts w:asciiTheme="minorHAnsi" w:hAnsiTheme="minorHAnsi"/>
        </w:rPr>
        <w:t>, to draw useful conclusions for decision makers</w:t>
      </w:r>
      <w:r w:rsidR="006C2794">
        <w:rPr>
          <w:rFonts w:asciiTheme="minorHAnsi" w:hAnsiTheme="minorHAnsi"/>
        </w:rPr>
        <w:t xml:space="preserve"> on how to unleash small producers’ full potential.</w:t>
      </w:r>
    </w:p>
    <w:p w14:paraId="713B6D26" w14:textId="77777777" w:rsidR="00A56D64" w:rsidRDefault="00A56D64" w:rsidP="00E207F0">
      <w:pPr>
        <w:pStyle w:val="Default"/>
        <w:rPr>
          <w:rFonts w:asciiTheme="minorHAnsi" w:hAnsiTheme="minorHAnsi"/>
          <w:b/>
          <w:bCs/>
          <w:sz w:val="22"/>
          <w:szCs w:val="22"/>
        </w:rPr>
      </w:pPr>
    </w:p>
    <w:p w14:paraId="097E1B00" w14:textId="321F92F0" w:rsidR="006F3F5D" w:rsidRDefault="00E207F0" w:rsidP="00E207F0">
      <w:pPr>
        <w:pStyle w:val="Default"/>
        <w:rPr>
          <w:rFonts w:asciiTheme="minorHAnsi" w:hAnsiTheme="minorHAnsi"/>
          <w:b/>
          <w:bCs/>
          <w:sz w:val="22"/>
          <w:szCs w:val="22"/>
        </w:rPr>
      </w:pPr>
      <w:r w:rsidRPr="00352054">
        <w:rPr>
          <w:rFonts w:asciiTheme="minorHAnsi" w:hAnsiTheme="minorHAnsi"/>
          <w:b/>
          <w:bCs/>
          <w:sz w:val="22"/>
          <w:szCs w:val="22"/>
        </w:rPr>
        <w:t>E</w:t>
      </w:r>
      <w:r w:rsidR="00352054">
        <w:rPr>
          <w:rFonts w:asciiTheme="minorHAnsi" w:hAnsiTheme="minorHAnsi"/>
          <w:b/>
          <w:bCs/>
          <w:sz w:val="22"/>
          <w:szCs w:val="22"/>
        </w:rPr>
        <w:t>xpected outcomes</w:t>
      </w:r>
    </w:p>
    <w:p w14:paraId="0FD7471D" w14:textId="77777777" w:rsidR="00A56D64" w:rsidRPr="00352054" w:rsidRDefault="00A56D64" w:rsidP="00E207F0">
      <w:pPr>
        <w:pStyle w:val="Default"/>
        <w:rPr>
          <w:rFonts w:asciiTheme="minorHAnsi" w:hAnsiTheme="minorHAnsi"/>
          <w:b/>
          <w:bCs/>
          <w:sz w:val="22"/>
          <w:szCs w:val="22"/>
        </w:rPr>
      </w:pPr>
    </w:p>
    <w:p w14:paraId="45DE7883" w14:textId="77777777" w:rsidR="009915BF" w:rsidRPr="00352054" w:rsidRDefault="003B5770" w:rsidP="00F00AA1">
      <w:pPr>
        <w:pStyle w:val="Default"/>
        <w:numPr>
          <w:ilvl w:val="0"/>
          <w:numId w:val="1"/>
        </w:numPr>
        <w:jc w:val="both"/>
        <w:rPr>
          <w:rFonts w:asciiTheme="minorHAnsi" w:hAnsiTheme="minorHAnsi"/>
          <w:sz w:val="22"/>
          <w:szCs w:val="22"/>
        </w:rPr>
      </w:pPr>
      <w:r>
        <w:rPr>
          <w:rFonts w:asciiTheme="minorHAnsi" w:hAnsiTheme="minorHAnsi"/>
          <w:sz w:val="22"/>
          <w:szCs w:val="22"/>
        </w:rPr>
        <w:t xml:space="preserve"> A clearer understanding of the importance of</w:t>
      </w:r>
      <w:r w:rsidR="00C34EF6">
        <w:rPr>
          <w:rFonts w:asciiTheme="minorHAnsi" w:hAnsiTheme="minorHAnsi"/>
          <w:sz w:val="22"/>
          <w:szCs w:val="22"/>
        </w:rPr>
        <w:t xml:space="preserve"> rights of small agricultural and forest producers and how strengthened rights will further release the globally significant contribution that empowered small scale agricultural and forest producers make to SDGs and climate mitigation and adaptation goals</w:t>
      </w:r>
      <w:r w:rsidR="006C2794">
        <w:rPr>
          <w:rFonts w:asciiTheme="minorHAnsi" w:hAnsiTheme="minorHAnsi"/>
          <w:sz w:val="22"/>
          <w:szCs w:val="22"/>
        </w:rPr>
        <w:t>.</w:t>
      </w:r>
    </w:p>
    <w:p w14:paraId="02C20532" w14:textId="77777777" w:rsidR="00E207F0" w:rsidRPr="00352054" w:rsidRDefault="009915BF" w:rsidP="00F00AA1">
      <w:pPr>
        <w:pStyle w:val="Default"/>
        <w:numPr>
          <w:ilvl w:val="0"/>
          <w:numId w:val="1"/>
        </w:numPr>
        <w:jc w:val="both"/>
        <w:rPr>
          <w:rFonts w:asciiTheme="minorHAnsi" w:hAnsiTheme="minorHAnsi"/>
          <w:b/>
          <w:bCs/>
          <w:sz w:val="22"/>
          <w:szCs w:val="22"/>
        </w:rPr>
      </w:pPr>
      <w:r>
        <w:rPr>
          <w:rFonts w:asciiTheme="minorHAnsi" w:hAnsiTheme="minorHAnsi"/>
          <w:sz w:val="22"/>
          <w:szCs w:val="22"/>
        </w:rPr>
        <w:t>Possibilities of working together for</w:t>
      </w:r>
      <w:r w:rsidR="00E207F0" w:rsidRPr="00352054">
        <w:rPr>
          <w:rFonts w:asciiTheme="minorHAnsi" w:hAnsiTheme="minorHAnsi"/>
          <w:sz w:val="22"/>
          <w:szCs w:val="22"/>
        </w:rPr>
        <w:t xml:space="preserve"> measuring the scale and scope of contributions of small-scale</w:t>
      </w:r>
      <w:r w:rsidR="00C34EF6">
        <w:rPr>
          <w:rFonts w:asciiTheme="minorHAnsi" w:hAnsiTheme="minorHAnsi"/>
          <w:sz w:val="22"/>
          <w:szCs w:val="22"/>
        </w:rPr>
        <w:t xml:space="preserve"> agricultural and forest</w:t>
      </w:r>
      <w:r w:rsidR="00E207F0" w:rsidRPr="00352054">
        <w:rPr>
          <w:rFonts w:asciiTheme="minorHAnsi" w:hAnsiTheme="minorHAnsi"/>
          <w:sz w:val="22"/>
          <w:szCs w:val="22"/>
        </w:rPr>
        <w:t xml:space="preserve"> producers </w:t>
      </w:r>
      <w:r w:rsidR="00C34EF6">
        <w:rPr>
          <w:rFonts w:asciiTheme="minorHAnsi" w:hAnsiTheme="minorHAnsi"/>
          <w:sz w:val="22"/>
          <w:szCs w:val="22"/>
        </w:rPr>
        <w:t xml:space="preserve">and correlating rights to </w:t>
      </w:r>
      <w:r w:rsidR="006C2794">
        <w:rPr>
          <w:rFonts w:asciiTheme="minorHAnsi" w:hAnsiTheme="minorHAnsi"/>
          <w:sz w:val="22"/>
          <w:szCs w:val="22"/>
        </w:rPr>
        <w:t xml:space="preserve">ecological, social and economic </w:t>
      </w:r>
      <w:r w:rsidR="00C34EF6">
        <w:rPr>
          <w:rFonts w:asciiTheme="minorHAnsi" w:hAnsiTheme="minorHAnsi"/>
          <w:sz w:val="22"/>
          <w:szCs w:val="22"/>
        </w:rPr>
        <w:t xml:space="preserve">outcomes. </w:t>
      </w:r>
    </w:p>
    <w:p w14:paraId="684E0D34" w14:textId="77777777" w:rsidR="008D35DC" w:rsidRDefault="00B76F1E" w:rsidP="00F00AA1">
      <w:pPr>
        <w:pStyle w:val="Default"/>
        <w:numPr>
          <w:ilvl w:val="0"/>
          <w:numId w:val="1"/>
        </w:numPr>
        <w:jc w:val="both"/>
        <w:rPr>
          <w:rFonts w:asciiTheme="minorHAnsi" w:hAnsiTheme="minorHAnsi"/>
          <w:sz w:val="22"/>
          <w:szCs w:val="22"/>
        </w:rPr>
      </w:pPr>
      <w:r>
        <w:rPr>
          <w:rFonts w:asciiTheme="minorHAnsi" w:hAnsiTheme="minorHAnsi"/>
          <w:sz w:val="22"/>
          <w:szCs w:val="22"/>
        </w:rPr>
        <w:t>A publication covering k</w:t>
      </w:r>
      <w:r w:rsidR="00E207F0" w:rsidRPr="00352054">
        <w:rPr>
          <w:rFonts w:asciiTheme="minorHAnsi" w:hAnsiTheme="minorHAnsi"/>
          <w:sz w:val="22"/>
          <w:szCs w:val="22"/>
        </w:rPr>
        <w:t xml:space="preserve">ey discussion points including </w:t>
      </w:r>
      <w:r>
        <w:rPr>
          <w:rFonts w:asciiTheme="minorHAnsi" w:hAnsiTheme="minorHAnsi"/>
          <w:sz w:val="22"/>
          <w:szCs w:val="22"/>
        </w:rPr>
        <w:t xml:space="preserve">existing </w:t>
      </w:r>
      <w:r w:rsidR="00577FA2" w:rsidRPr="00352054">
        <w:rPr>
          <w:rFonts w:asciiTheme="minorHAnsi" w:hAnsiTheme="minorHAnsi"/>
          <w:sz w:val="22"/>
          <w:szCs w:val="22"/>
        </w:rPr>
        <w:t>dataset</w:t>
      </w:r>
      <w:r w:rsidR="00B252C8" w:rsidRPr="00352054">
        <w:rPr>
          <w:rFonts w:asciiTheme="minorHAnsi" w:hAnsiTheme="minorHAnsi"/>
          <w:sz w:val="22"/>
          <w:szCs w:val="22"/>
        </w:rPr>
        <w:t>s</w:t>
      </w:r>
      <w:r w:rsidR="00577FA2" w:rsidRPr="00352054">
        <w:rPr>
          <w:rFonts w:asciiTheme="minorHAnsi" w:hAnsiTheme="minorHAnsi"/>
          <w:sz w:val="22"/>
          <w:szCs w:val="22"/>
        </w:rPr>
        <w:t>, methodolog</w:t>
      </w:r>
      <w:r w:rsidR="00B252C8" w:rsidRPr="00352054">
        <w:rPr>
          <w:rFonts w:asciiTheme="minorHAnsi" w:hAnsiTheme="minorHAnsi"/>
          <w:sz w:val="22"/>
          <w:szCs w:val="22"/>
        </w:rPr>
        <w:t xml:space="preserve">ies and </w:t>
      </w:r>
      <w:r w:rsidR="00577FA2" w:rsidRPr="00352054">
        <w:rPr>
          <w:rFonts w:asciiTheme="minorHAnsi" w:hAnsiTheme="minorHAnsi"/>
          <w:sz w:val="22"/>
          <w:szCs w:val="22"/>
        </w:rPr>
        <w:t xml:space="preserve">emerging </w:t>
      </w:r>
      <w:r w:rsidR="00B252C8" w:rsidRPr="00352054">
        <w:rPr>
          <w:rFonts w:asciiTheme="minorHAnsi" w:hAnsiTheme="minorHAnsi"/>
          <w:sz w:val="22"/>
          <w:szCs w:val="22"/>
        </w:rPr>
        <w:t>approaches related</w:t>
      </w:r>
      <w:r w:rsidR="00E207F0" w:rsidRPr="00352054">
        <w:rPr>
          <w:rFonts w:asciiTheme="minorHAnsi" w:hAnsiTheme="minorHAnsi"/>
          <w:sz w:val="22"/>
          <w:szCs w:val="22"/>
        </w:rPr>
        <w:t xml:space="preserve"> to the scale and scope of contributions of small-scale forest and farm producers</w:t>
      </w:r>
      <w:r w:rsidR="00C34EF6">
        <w:rPr>
          <w:rFonts w:asciiTheme="minorHAnsi" w:hAnsiTheme="minorHAnsi"/>
          <w:sz w:val="22"/>
          <w:szCs w:val="22"/>
        </w:rPr>
        <w:t xml:space="preserve"> and the importance of rights to unleash their full potential to national and globally important goals. </w:t>
      </w:r>
      <w:r w:rsidR="005F0562" w:rsidRPr="00352054">
        <w:rPr>
          <w:rFonts w:asciiTheme="minorHAnsi" w:hAnsiTheme="minorHAnsi"/>
          <w:sz w:val="22"/>
          <w:szCs w:val="22"/>
        </w:rPr>
        <w:t xml:space="preserve">   </w:t>
      </w:r>
    </w:p>
    <w:p w14:paraId="4DE5FE4E" w14:textId="79D11CBB" w:rsidR="007B6A7D" w:rsidRDefault="00A56D64" w:rsidP="00396826">
      <w:r>
        <w:br w:type="page"/>
      </w:r>
      <w:r w:rsidR="00396826">
        <w:rPr>
          <w:b/>
          <w:bCs/>
        </w:rPr>
        <w:lastRenderedPageBreak/>
        <w:t>Anticipated expenses</w:t>
      </w:r>
      <w:r w:rsidR="007B6A7D">
        <w:t>:</w:t>
      </w:r>
    </w:p>
    <w:tbl>
      <w:tblPr>
        <w:tblStyle w:val="TableGrid"/>
        <w:tblW w:w="0" w:type="auto"/>
        <w:tblLook w:val="04A0" w:firstRow="1" w:lastRow="0" w:firstColumn="1" w:lastColumn="0" w:noHBand="0" w:noVBand="1"/>
      </w:tblPr>
      <w:tblGrid>
        <w:gridCol w:w="5135"/>
        <w:gridCol w:w="1700"/>
      </w:tblGrid>
      <w:tr w:rsidR="00396826" w14:paraId="7B41EFF6" w14:textId="77777777" w:rsidTr="003A24F8">
        <w:tc>
          <w:tcPr>
            <w:tcW w:w="5135" w:type="dxa"/>
          </w:tcPr>
          <w:p w14:paraId="711BB6E2" w14:textId="2756176A" w:rsidR="00396826" w:rsidRPr="00396826" w:rsidRDefault="00396826" w:rsidP="007B6A7D">
            <w:pPr>
              <w:rPr>
                <w:b/>
                <w:bCs/>
              </w:rPr>
            </w:pPr>
            <w:r w:rsidRPr="00396826">
              <w:rPr>
                <w:b/>
                <w:bCs/>
              </w:rPr>
              <w:t>Item</w:t>
            </w:r>
          </w:p>
        </w:tc>
        <w:tc>
          <w:tcPr>
            <w:tcW w:w="1700" w:type="dxa"/>
          </w:tcPr>
          <w:p w14:paraId="4F43E8AC" w14:textId="5B494260" w:rsidR="00396826" w:rsidRPr="00396826" w:rsidRDefault="00396826" w:rsidP="007B6A7D">
            <w:pPr>
              <w:rPr>
                <w:b/>
                <w:bCs/>
              </w:rPr>
            </w:pPr>
            <w:r>
              <w:rPr>
                <w:b/>
                <w:bCs/>
              </w:rPr>
              <w:t>Amount</w:t>
            </w:r>
            <w:r w:rsidRPr="00396826">
              <w:rPr>
                <w:b/>
                <w:bCs/>
              </w:rPr>
              <w:t xml:space="preserve"> (USD)</w:t>
            </w:r>
          </w:p>
        </w:tc>
      </w:tr>
      <w:tr w:rsidR="0062747B" w14:paraId="2E0E765B" w14:textId="77777777" w:rsidTr="003A24F8">
        <w:tc>
          <w:tcPr>
            <w:tcW w:w="5135" w:type="dxa"/>
          </w:tcPr>
          <w:p w14:paraId="51E1CC5F" w14:textId="1A6D4013" w:rsidR="0062747B" w:rsidRDefault="0062747B" w:rsidP="003A51E3">
            <w:r>
              <w:t xml:space="preserve">Registration costs of Jeffrey Campbell </w:t>
            </w:r>
          </w:p>
        </w:tc>
        <w:tc>
          <w:tcPr>
            <w:tcW w:w="1700" w:type="dxa"/>
          </w:tcPr>
          <w:p w14:paraId="5E6A460E" w14:textId="6848431F" w:rsidR="0062747B" w:rsidRDefault="003A51E3" w:rsidP="007B6A7D">
            <w:r>
              <w:t>3</w:t>
            </w:r>
            <w:r w:rsidR="004418C6">
              <w:t>00</w:t>
            </w:r>
          </w:p>
        </w:tc>
      </w:tr>
      <w:tr w:rsidR="000C1A55" w14:paraId="03052EFC" w14:textId="77777777" w:rsidTr="003A24F8">
        <w:tc>
          <w:tcPr>
            <w:tcW w:w="5135" w:type="dxa"/>
          </w:tcPr>
          <w:p w14:paraId="23EE079D" w14:textId="174A5A0C" w:rsidR="000C1A55" w:rsidRDefault="003A51E3" w:rsidP="003A51E3">
            <w:r>
              <w:t>Registration costs of Illias Animon</w:t>
            </w:r>
          </w:p>
        </w:tc>
        <w:tc>
          <w:tcPr>
            <w:tcW w:w="1700" w:type="dxa"/>
          </w:tcPr>
          <w:p w14:paraId="7DA6CCA1" w14:textId="3743EB62" w:rsidR="000C1A55" w:rsidRDefault="003A51E3" w:rsidP="007B6A7D">
            <w:r>
              <w:t>300</w:t>
            </w:r>
          </w:p>
        </w:tc>
      </w:tr>
      <w:tr w:rsidR="00396826" w14:paraId="6CC891E7" w14:textId="77777777" w:rsidTr="003A24F8">
        <w:trPr>
          <w:trHeight w:val="1043"/>
        </w:trPr>
        <w:tc>
          <w:tcPr>
            <w:tcW w:w="5135" w:type="dxa"/>
          </w:tcPr>
          <w:p w14:paraId="6BDD62AB" w14:textId="77777777" w:rsidR="00396826" w:rsidRDefault="00396826" w:rsidP="003A51E3">
            <w:r>
              <w:t xml:space="preserve">Travel related costs of Jeffrey Campbell </w:t>
            </w:r>
            <w:r w:rsidR="00FC6F5C">
              <w:t>(28 Sep to 02 Oct, 2017)</w:t>
            </w:r>
          </w:p>
          <w:p w14:paraId="0EC48918" w14:textId="4FEFFE98" w:rsidR="00445909" w:rsidRDefault="00445909" w:rsidP="00E77DB4">
            <w:pPr>
              <w:pStyle w:val="ListParagraph"/>
              <w:numPr>
                <w:ilvl w:val="0"/>
                <w:numId w:val="5"/>
              </w:numPr>
              <w:spacing w:line="240" w:lineRule="auto"/>
            </w:pPr>
            <w:r>
              <w:t>Travel</w:t>
            </w:r>
          </w:p>
          <w:p w14:paraId="2B9FBCA2" w14:textId="0C49C7A3" w:rsidR="00445909" w:rsidRDefault="00445909" w:rsidP="00E77DB4">
            <w:pPr>
              <w:pStyle w:val="ListParagraph"/>
              <w:numPr>
                <w:ilvl w:val="0"/>
                <w:numId w:val="5"/>
              </w:numPr>
              <w:spacing w:line="240" w:lineRule="auto"/>
            </w:pPr>
            <w:r>
              <w:t>DSA</w:t>
            </w:r>
            <w:r w:rsidR="00FF0403">
              <w:t xml:space="preserve"> and others</w:t>
            </w:r>
          </w:p>
        </w:tc>
        <w:tc>
          <w:tcPr>
            <w:tcW w:w="1700" w:type="dxa"/>
          </w:tcPr>
          <w:p w14:paraId="30865BF9" w14:textId="77777777" w:rsidR="00396826" w:rsidRDefault="00396826" w:rsidP="007B6A7D"/>
          <w:p w14:paraId="2D833686" w14:textId="77777777" w:rsidR="00445909" w:rsidRDefault="00445909" w:rsidP="007B6A7D"/>
          <w:p w14:paraId="23ABBC22" w14:textId="77777777" w:rsidR="00445909" w:rsidRDefault="00445909" w:rsidP="00E77DB4">
            <w:r>
              <w:t>200</w:t>
            </w:r>
          </w:p>
          <w:p w14:paraId="2A146DE4" w14:textId="057C8266" w:rsidR="00E77DB4" w:rsidRDefault="00FF0403" w:rsidP="00E77DB4">
            <w:r>
              <w:t>1800</w:t>
            </w:r>
          </w:p>
        </w:tc>
      </w:tr>
      <w:tr w:rsidR="003A51E3" w14:paraId="49827C81" w14:textId="77777777" w:rsidTr="003A24F8">
        <w:tc>
          <w:tcPr>
            <w:tcW w:w="5135" w:type="dxa"/>
          </w:tcPr>
          <w:p w14:paraId="15CC3944" w14:textId="77777777" w:rsidR="003A51E3" w:rsidRDefault="003A51E3" w:rsidP="003A51E3">
            <w:r>
              <w:t>Travel related costs of Illias Animon (28 Sep to 02 Oct, 2017)</w:t>
            </w:r>
          </w:p>
          <w:p w14:paraId="56BDA611" w14:textId="77777777" w:rsidR="009F1AF9" w:rsidRDefault="009F1AF9" w:rsidP="003A51E3"/>
          <w:p w14:paraId="4498B524" w14:textId="77777777" w:rsidR="009F1AF9" w:rsidRDefault="009F1AF9" w:rsidP="009F1AF9">
            <w:pPr>
              <w:pStyle w:val="ListParagraph"/>
              <w:numPr>
                <w:ilvl w:val="0"/>
                <w:numId w:val="6"/>
              </w:numPr>
              <w:spacing w:line="240" w:lineRule="auto"/>
            </w:pPr>
            <w:r>
              <w:t>Travel</w:t>
            </w:r>
          </w:p>
          <w:p w14:paraId="41DBB3B2" w14:textId="608292E2" w:rsidR="009F1AF9" w:rsidRDefault="009F1AF9" w:rsidP="009F1AF9">
            <w:pPr>
              <w:pStyle w:val="ListParagraph"/>
              <w:numPr>
                <w:ilvl w:val="0"/>
                <w:numId w:val="6"/>
              </w:numPr>
              <w:spacing w:line="240" w:lineRule="auto"/>
            </w:pPr>
            <w:r>
              <w:t>DSA</w:t>
            </w:r>
            <w:r w:rsidR="00FF0403">
              <w:t xml:space="preserve"> and others</w:t>
            </w:r>
          </w:p>
        </w:tc>
        <w:tc>
          <w:tcPr>
            <w:tcW w:w="1700" w:type="dxa"/>
          </w:tcPr>
          <w:p w14:paraId="6086B246" w14:textId="77777777" w:rsidR="003A51E3" w:rsidRDefault="003A51E3" w:rsidP="007B6A7D"/>
          <w:p w14:paraId="2A720B50" w14:textId="77777777" w:rsidR="009F1AF9" w:rsidRDefault="009F1AF9" w:rsidP="007B6A7D"/>
          <w:p w14:paraId="7428B468" w14:textId="77777777" w:rsidR="009F1AF9" w:rsidRDefault="009F1AF9" w:rsidP="007B6A7D"/>
          <w:p w14:paraId="589DEA66" w14:textId="77777777" w:rsidR="009F1AF9" w:rsidRDefault="009F1AF9" w:rsidP="007B6A7D">
            <w:r>
              <w:t>200</w:t>
            </w:r>
          </w:p>
          <w:p w14:paraId="24897CB9" w14:textId="3762B33A" w:rsidR="009F1AF9" w:rsidRDefault="00FF0403" w:rsidP="007B6A7D">
            <w:r>
              <w:t>1800</w:t>
            </w:r>
          </w:p>
        </w:tc>
      </w:tr>
      <w:tr w:rsidR="00396826" w14:paraId="236C97FA" w14:textId="77777777" w:rsidTr="003A24F8">
        <w:tc>
          <w:tcPr>
            <w:tcW w:w="5135" w:type="dxa"/>
          </w:tcPr>
          <w:p w14:paraId="65922F18" w14:textId="3D362532" w:rsidR="00396826" w:rsidRDefault="00396826" w:rsidP="007B6A7D">
            <w:r>
              <w:t>Costs of folders with background materials</w:t>
            </w:r>
          </w:p>
        </w:tc>
        <w:tc>
          <w:tcPr>
            <w:tcW w:w="1700" w:type="dxa"/>
          </w:tcPr>
          <w:p w14:paraId="3425A661" w14:textId="0EC82E8D" w:rsidR="00396826" w:rsidRDefault="004418C6" w:rsidP="007B6A7D">
            <w:r>
              <w:t>600</w:t>
            </w:r>
          </w:p>
        </w:tc>
      </w:tr>
      <w:tr w:rsidR="00396826" w14:paraId="04435D11" w14:textId="77777777" w:rsidTr="003A24F8">
        <w:tc>
          <w:tcPr>
            <w:tcW w:w="5135" w:type="dxa"/>
          </w:tcPr>
          <w:p w14:paraId="180F2944" w14:textId="30AE8A53" w:rsidR="00396826" w:rsidRPr="004418C6" w:rsidRDefault="004418C6" w:rsidP="007B6A7D">
            <w:pPr>
              <w:rPr>
                <w:b/>
                <w:bCs/>
              </w:rPr>
            </w:pPr>
            <w:r w:rsidRPr="004418C6">
              <w:rPr>
                <w:b/>
                <w:bCs/>
              </w:rPr>
              <w:t>Total</w:t>
            </w:r>
          </w:p>
        </w:tc>
        <w:tc>
          <w:tcPr>
            <w:tcW w:w="1700" w:type="dxa"/>
          </w:tcPr>
          <w:p w14:paraId="18AEC835" w14:textId="14A32FCA" w:rsidR="00396826" w:rsidRDefault="00FF0403" w:rsidP="007B6A7D">
            <w:r>
              <w:t>5200</w:t>
            </w:r>
          </w:p>
        </w:tc>
      </w:tr>
    </w:tbl>
    <w:p w14:paraId="36BDC48F" w14:textId="77777777" w:rsidR="00396826" w:rsidRDefault="00396826" w:rsidP="007B6A7D"/>
    <w:p w14:paraId="3C648E92" w14:textId="0B59C949" w:rsidR="00A56D64" w:rsidRDefault="00A56D64" w:rsidP="007B6A7D">
      <w:pPr>
        <w:rPr>
          <w:b/>
          <w:bCs/>
        </w:rPr>
      </w:pPr>
      <w:r w:rsidRPr="00352054">
        <w:rPr>
          <w:b/>
          <w:bCs/>
        </w:rPr>
        <w:t xml:space="preserve">Agenda with specific activities </w:t>
      </w:r>
    </w:p>
    <w:p w14:paraId="39009019" w14:textId="77777777" w:rsidR="00A56D64" w:rsidRDefault="00A56D64" w:rsidP="00A56D64">
      <w:pPr>
        <w:pStyle w:val="Default"/>
        <w:rPr>
          <w:rFonts w:asciiTheme="minorHAnsi" w:hAnsiTheme="minorHAnsi"/>
          <w:i/>
          <w:iCs/>
          <w:sz w:val="22"/>
          <w:szCs w:val="22"/>
          <w:u w:val="single"/>
        </w:rPr>
      </w:pPr>
      <w:r w:rsidRPr="00B76F1E">
        <w:rPr>
          <w:rFonts w:asciiTheme="minorHAnsi" w:hAnsiTheme="minorHAnsi"/>
          <w:i/>
          <w:iCs/>
          <w:sz w:val="22"/>
          <w:szCs w:val="22"/>
          <w:u w:val="single"/>
        </w:rPr>
        <w:t>Session 1 (</w:t>
      </w:r>
      <w:r>
        <w:rPr>
          <w:rFonts w:asciiTheme="minorHAnsi" w:hAnsiTheme="minorHAnsi"/>
          <w:i/>
          <w:iCs/>
          <w:sz w:val="22"/>
          <w:szCs w:val="22"/>
          <w:u w:val="single"/>
        </w:rPr>
        <w:t>9</w:t>
      </w:r>
      <w:r w:rsidRPr="00B76F1E">
        <w:rPr>
          <w:rFonts w:asciiTheme="minorHAnsi" w:hAnsiTheme="minorHAnsi"/>
          <w:i/>
          <w:iCs/>
          <w:sz w:val="22"/>
          <w:szCs w:val="22"/>
          <w:u w:val="single"/>
        </w:rPr>
        <w:t>0 minutes)</w:t>
      </w:r>
    </w:p>
    <w:p w14:paraId="65A4F2CF" w14:textId="77777777" w:rsidR="00A56D64" w:rsidRPr="00B76F1E" w:rsidRDefault="00A56D64" w:rsidP="00A56D64">
      <w:pPr>
        <w:pStyle w:val="Default"/>
        <w:rPr>
          <w:rFonts w:asciiTheme="minorHAnsi" w:hAnsiTheme="minorHAnsi"/>
          <w:i/>
          <w:iCs/>
          <w:sz w:val="22"/>
          <w:szCs w:val="22"/>
          <w:u w:val="single"/>
        </w:rPr>
      </w:pPr>
    </w:p>
    <w:p w14:paraId="0403E657" w14:textId="77777777" w:rsidR="00A56D64" w:rsidRDefault="00A56D64" w:rsidP="00F00AA1">
      <w:pPr>
        <w:pStyle w:val="ListParagraph"/>
        <w:numPr>
          <w:ilvl w:val="0"/>
          <w:numId w:val="2"/>
        </w:numPr>
        <w:spacing w:after="0" w:line="240" w:lineRule="auto"/>
        <w:jc w:val="both"/>
        <w:rPr>
          <w:rFonts w:asciiTheme="minorHAnsi" w:hAnsiTheme="minorHAnsi"/>
        </w:rPr>
      </w:pPr>
      <w:r w:rsidRPr="00352054">
        <w:rPr>
          <w:rFonts w:asciiTheme="minorHAnsi" w:hAnsiTheme="minorHAnsi"/>
        </w:rPr>
        <w:t>Intr</w:t>
      </w:r>
      <w:r>
        <w:rPr>
          <w:rFonts w:asciiTheme="minorHAnsi" w:hAnsiTheme="minorHAnsi"/>
        </w:rPr>
        <w:t>oduction and setting the scene (Jeffrey Campbell)</w:t>
      </w:r>
    </w:p>
    <w:p w14:paraId="24A843BD" w14:textId="77777777" w:rsidR="00A56D64" w:rsidRPr="00352054" w:rsidRDefault="00A56D64" w:rsidP="00F00AA1">
      <w:pPr>
        <w:pStyle w:val="ListParagraph"/>
        <w:numPr>
          <w:ilvl w:val="0"/>
          <w:numId w:val="2"/>
        </w:numPr>
        <w:spacing w:after="0" w:line="240" w:lineRule="auto"/>
        <w:jc w:val="both"/>
        <w:rPr>
          <w:rFonts w:asciiTheme="minorHAnsi" w:hAnsiTheme="minorHAnsi"/>
        </w:rPr>
      </w:pPr>
      <w:r w:rsidRPr="00352054">
        <w:rPr>
          <w:rFonts w:asciiTheme="minorHAnsi" w:hAnsiTheme="minorHAnsi"/>
        </w:rPr>
        <w:t xml:space="preserve">The key results from the Expert Workshop ‘’Small, but many is big: The scale and scope of smallholder forest and farm production and micro and small/medium scale enterprises’’ </w:t>
      </w:r>
      <w:r>
        <w:rPr>
          <w:rFonts w:asciiTheme="minorHAnsi" w:hAnsiTheme="minorHAnsi"/>
        </w:rPr>
        <w:t>(</w:t>
      </w:r>
      <w:r w:rsidRPr="00352054">
        <w:rPr>
          <w:rFonts w:asciiTheme="minorHAnsi" w:hAnsiTheme="minorHAnsi"/>
        </w:rPr>
        <w:t>22</w:t>
      </w:r>
      <w:r>
        <w:rPr>
          <w:rFonts w:asciiTheme="minorHAnsi" w:hAnsiTheme="minorHAnsi"/>
        </w:rPr>
        <w:t>-</w:t>
      </w:r>
      <w:r w:rsidRPr="00352054">
        <w:rPr>
          <w:rFonts w:asciiTheme="minorHAnsi" w:hAnsiTheme="minorHAnsi"/>
        </w:rPr>
        <w:t>23 June, 2017 in FAO</w:t>
      </w:r>
      <w:r>
        <w:rPr>
          <w:rFonts w:asciiTheme="minorHAnsi" w:hAnsiTheme="minorHAnsi"/>
        </w:rPr>
        <w:t>)</w:t>
      </w:r>
      <w:r w:rsidRPr="00352054">
        <w:rPr>
          <w:rFonts w:asciiTheme="minorHAnsi" w:hAnsiTheme="minorHAnsi"/>
        </w:rPr>
        <w:t xml:space="preserve"> </w:t>
      </w:r>
      <w:r>
        <w:rPr>
          <w:rFonts w:asciiTheme="minorHAnsi" w:hAnsiTheme="minorHAnsi"/>
        </w:rPr>
        <w:t>(Illias Animon)</w:t>
      </w:r>
    </w:p>
    <w:p w14:paraId="663B82F9" w14:textId="77777777" w:rsidR="00A56D64" w:rsidRDefault="00A56D64" w:rsidP="00F00AA1">
      <w:pPr>
        <w:pStyle w:val="Default"/>
        <w:numPr>
          <w:ilvl w:val="0"/>
          <w:numId w:val="2"/>
        </w:numPr>
        <w:jc w:val="both"/>
        <w:rPr>
          <w:rFonts w:asciiTheme="minorHAnsi" w:hAnsiTheme="minorHAnsi"/>
          <w:sz w:val="22"/>
          <w:szCs w:val="22"/>
        </w:rPr>
      </w:pPr>
      <w:r w:rsidRPr="00352054">
        <w:rPr>
          <w:rFonts w:asciiTheme="minorHAnsi" w:hAnsiTheme="minorHAnsi"/>
          <w:sz w:val="22"/>
          <w:szCs w:val="22"/>
        </w:rPr>
        <w:t>Upcoming publication on the scale and scope of small-scale</w:t>
      </w:r>
      <w:r>
        <w:rPr>
          <w:rFonts w:asciiTheme="minorHAnsi" w:hAnsiTheme="minorHAnsi"/>
          <w:sz w:val="22"/>
          <w:szCs w:val="22"/>
        </w:rPr>
        <w:t xml:space="preserve"> agricultural</w:t>
      </w:r>
      <w:r w:rsidRPr="00352054">
        <w:rPr>
          <w:rFonts w:asciiTheme="minorHAnsi" w:hAnsiTheme="minorHAnsi"/>
          <w:sz w:val="22"/>
          <w:szCs w:val="22"/>
        </w:rPr>
        <w:t xml:space="preserve"> and </w:t>
      </w:r>
      <w:r>
        <w:rPr>
          <w:rFonts w:asciiTheme="minorHAnsi" w:hAnsiTheme="minorHAnsi"/>
          <w:sz w:val="22"/>
          <w:szCs w:val="22"/>
        </w:rPr>
        <w:t>forest</w:t>
      </w:r>
      <w:r w:rsidRPr="00352054">
        <w:rPr>
          <w:rFonts w:asciiTheme="minorHAnsi" w:hAnsiTheme="minorHAnsi"/>
          <w:sz w:val="22"/>
          <w:szCs w:val="22"/>
        </w:rPr>
        <w:t xml:space="preserve"> producers</w:t>
      </w:r>
      <w:r>
        <w:rPr>
          <w:rFonts w:asciiTheme="minorHAnsi" w:hAnsiTheme="minorHAnsi"/>
          <w:sz w:val="22"/>
          <w:szCs w:val="22"/>
        </w:rPr>
        <w:t xml:space="preserve"> and the implications of rights on positive outcomes for small (Michael </w:t>
      </w:r>
      <w:proofErr w:type="spellStart"/>
      <w:r>
        <w:rPr>
          <w:rFonts w:asciiTheme="minorHAnsi" w:hAnsiTheme="minorHAnsi"/>
          <w:sz w:val="22"/>
          <w:szCs w:val="22"/>
        </w:rPr>
        <w:t>Verdone</w:t>
      </w:r>
      <w:proofErr w:type="spellEnd"/>
      <w:r>
        <w:rPr>
          <w:rFonts w:asciiTheme="minorHAnsi" w:hAnsiTheme="minorHAnsi"/>
          <w:sz w:val="22"/>
          <w:szCs w:val="22"/>
        </w:rPr>
        <w:t>)</w:t>
      </w:r>
    </w:p>
    <w:p w14:paraId="141C7815" w14:textId="77777777" w:rsidR="00A56D64" w:rsidRPr="00352054" w:rsidRDefault="00A56D64" w:rsidP="00F00AA1">
      <w:pPr>
        <w:pStyle w:val="Default"/>
        <w:numPr>
          <w:ilvl w:val="0"/>
          <w:numId w:val="2"/>
        </w:numPr>
        <w:jc w:val="both"/>
        <w:rPr>
          <w:rFonts w:asciiTheme="minorHAnsi" w:hAnsiTheme="minorHAnsi"/>
          <w:sz w:val="22"/>
          <w:szCs w:val="22"/>
        </w:rPr>
      </w:pPr>
      <w:r>
        <w:rPr>
          <w:rFonts w:asciiTheme="minorHAnsi" w:hAnsiTheme="minorHAnsi"/>
          <w:sz w:val="22"/>
          <w:szCs w:val="22"/>
        </w:rPr>
        <w:t xml:space="preserve">Emerging opportunities and tools and approaches relevant for scaling up the work on </w:t>
      </w:r>
      <w:r w:rsidRPr="00352054">
        <w:rPr>
          <w:rFonts w:asciiTheme="minorHAnsi" w:hAnsiTheme="minorHAnsi"/>
          <w:sz w:val="22"/>
          <w:szCs w:val="22"/>
        </w:rPr>
        <w:t>small-scale forest and farm producers</w:t>
      </w:r>
      <w:r>
        <w:rPr>
          <w:rFonts w:asciiTheme="minorHAnsi" w:hAnsiTheme="minorHAnsi"/>
          <w:sz w:val="22"/>
          <w:szCs w:val="22"/>
        </w:rPr>
        <w:t xml:space="preserve"> and of better understanding and analysis of the importance of rights based approaches to positive outcomes (interventions (including via Skype) from </w:t>
      </w:r>
      <w:r w:rsidRPr="00AD050D">
        <w:rPr>
          <w:rFonts w:asciiTheme="minorHAnsi" w:hAnsiTheme="minorHAnsi"/>
          <w:sz w:val="22"/>
          <w:szCs w:val="22"/>
        </w:rPr>
        <w:t xml:space="preserve">Duncan MacQueen, Pauline </w:t>
      </w:r>
      <w:proofErr w:type="spellStart"/>
      <w:r w:rsidRPr="00AD050D">
        <w:rPr>
          <w:rFonts w:asciiTheme="minorHAnsi" w:hAnsiTheme="minorHAnsi"/>
          <w:sz w:val="22"/>
          <w:szCs w:val="22"/>
        </w:rPr>
        <w:t>Buffle</w:t>
      </w:r>
      <w:proofErr w:type="spellEnd"/>
      <w:r w:rsidRPr="00AD050D">
        <w:rPr>
          <w:rFonts w:asciiTheme="minorHAnsi" w:hAnsiTheme="minorHAnsi"/>
          <w:sz w:val="22"/>
          <w:szCs w:val="22"/>
        </w:rPr>
        <w:t xml:space="preserve">, </w:t>
      </w:r>
      <w:r>
        <w:rPr>
          <w:rFonts w:asciiTheme="minorHAnsi" w:hAnsiTheme="minorHAnsi"/>
          <w:sz w:val="22"/>
          <w:szCs w:val="22"/>
        </w:rPr>
        <w:t xml:space="preserve">Sven </w:t>
      </w:r>
      <w:proofErr w:type="spellStart"/>
      <w:r>
        <w:rPr>
          <w:rFonts w:asciiTheme="minorHAnsi" w:hAnsiTheme="minorHAnsi"/>
          <w:sz w:val="22"/>
          <w:szCs w:val="22"/>
        </w:rPr>
        <w:t>Wunder</w:t>
      </w:r>
      <w:proofErr w:type="spellEnd"/>
      <w:r w:rsidRPr="00AD050D">
        <w:rPr>
          <w:rFonts w:asciiTheme="minorHAnsi" w:hAnsiTheme="minorHAnsi"/>
          <w:sz w:val="22"/>
          <w:szCs w:val="22"/>
        </w:rPr>
        <w:t>, Arun Agrawal, Daniel Miller, Anssi Pekkarinen etc.- TBC)</w:t>
      </w:r>
      <w:r w:rsidRPr="00FB4D75">
        <w:rPr>
          <w:rFonts w:eastAsia="Times New Roman"/>
          <w:i/>
          <w:sz w:val="20"/>
          <w:szCs w:val="20"/>
          <w:lang w:eastAsia="en-GB"/>
        </w:rPr>
        <w:t xml:space="preserve"> </w:t>
      </w:r>
    </w:p>
    <w:p w14:paraId="23376724" w14:textId="77777777" w:rsidR="00A56D64" w:rsidRDefault="00A56D64" w:rsidP="00F00AA1">
      <w:pPr>
        <w:pStyle w:val="ListParagraph"/>
        <w:numPr>
          <w:ilvl w:val="0"/>
          <w:numId w:val="2"/>
        </w:numPr>
        <w:spacing w:after="0" w:line="240" w:lineRule="auto"/>
        <w:jc w:val="both"/>
        <w:rPr>
          <w:rFonts w:asciiTheme="minorHAnsi" w:hAnsiTheme="minorHAnsi"/>
        </w:rPr>
      </w:pPr>
      <w:r>
        <w:rPr>
          <w:rFonts w:asciiTheme="minorHAnsi" w:hAnsiTheme="minorHAnsi"/>
        </w:rPr>
        <w:t>Question and answers</w:t>
      </w:r>
    </w:p>
    <w:p w14:paraId="1F7C9BAF" w14:textId="77777777" w:rsidR="00A56D64" w:rsidRDefault="00A56D64" w:rsidP="00A56D64">
      <w:pPr>
        <w:pStyle w:val="Default"/>
        <w:rPr>
          <w:rFonts w:asciiTheme="minorHAnsi" w:hAnsiTheme="minorHAnsi"/>
          <w:i/>
          <w:iCs/>
          <w:sz w:val="22"/>
          <w:szCs w:val="22"/>
          <w:u w:val="single"/>
        </w:rPr>
      </w:pPr>
    </w:p>
    <w:p w14:paraId="0A6D469E" w14:textId="77777777" w:rsidR="00A56D64" w:rsidRDefault="00A56D64" w:rsidP="00A56D64">
      <w:pPr>
        <w:pStyle w:val="Default"/>
        <w:rPr>
          <w:rFonts w:asciiTheme="minorHAnsi" w:hAnsiTheme="minorHAnsi"/>
          <w:i/>
          <w:iCs/>
          <w:sz w:val="22"/>
          <w:szCs w:val="22"/>
          <w:u w:val="single"/>
        </w:rPr>
      </w:pPr>
      <w:r w:rsidRPr="00D5008D">
        <w:rPr>
          <w:rFonts w:asciiTheme="minorHAnsi" w:hAnsiTheme="minorHAnsi"/>
          <w:i/>
          <w:iCs/>
          <w:sz w:val="22"/>
          <w:szCs w:val="22"/>
          <w:u w:val="single"/>
        </w:rPr>
        <w:t>Session 2 (75 minutes)</w:t>
      </w:r>
    </w:p>
    <w:p w14:paraId="1D3ADE29" w14:textId="77777777" w:rsidR="00A56D64" w:rsidRDefault="00A56D64" w:rsidP="00A56D64">
      <w:pPr>
        <w:pStyle w:val="Default"/>
        <w:rPr>
          <w:rFonts w:asciiTheme="minorHAnsi" w:hAnsiTheme="minorHAnsi"/>
          <w:i/>
          <w:iCs/>
          <w:sz w:val="22"/>
          <w:szCs w:val="22"/>
          <w:u w:val="single"/>
        </w:rPr>
      </w:pPr>
    </w:p>
    <w:p w14:paraId="76699EA9" w14:textId="77777777" w:rsidR="00A56D64" w:rsidRDefault="00A56D64" w:rsidP="00A56D64">
      <w:pPr>
        <w:pStyle w:val="Default"/>
        <w:rPr>
          <w:rFonts w:asciiTheme="minorHAnsi" w:hAnsiTheme="minorHAnsi"/>
          <w:sz w:val="22"/>
          <w:szCs w:val="22"/>
        </w:rPr>
      </w:pPr>
      <w:r w:rsidRPr="00D5008D">
        <w:rPr>
          <w:rFonts w:asciiTheme="minorHAnsi" w:hAnsiTheme="minorHAnsi"/>
          <w:b/>
          <w:sz w:val="22"/>
          <w:szCs w:val="22"/>
        </w:rPr>
        <w:t>Facilitators</w:t>
      </w:r>
      <w:r>
        <w:rPr>
          <w:rFonts w:asciiTheme="minorHAnsi" w:hAnsiTheme="minorHAnsi"/>
          <w:sz w:val="22"/>
          <w:szCs w:val="22"/>
        </w:rPr>
        <w:t>: Jeffrey Campbell and Illias Animon (FAO)</w:t>
      </w:r>
    </w:p>
    <w:p w14:paraId="4CF8BC72" w14:textId="77777777" w:rsidR="00A56D64" w:rsidRPr="00D5008D" w:rsidRDefault="00A56D64" w:rsidP="00A56D64">
      <w:pPr>
        <w:pStyle w:val="Default"/>
        <w:rPr>
          <w:rFonts w:asciiTheme="minorHAnsi" w:hAnsiTheme="minorHAnsi"/>
          <w:i/>
          <w:iCs/>
          <w:sz w:val="22"/>
          <w:szCs w:val="22"/>
          <w:u w:val="single"/>
        </w:rPr>
      </w:pPr>
    </w:p>
    <w:p w14:paraId="7D622F69" w14:textId="77777777" w:rsidR="00A56D64" w:rsidRPr="00352054" w:rsidRDefault="00A56D64" w:rsidP="00A56D64">
      <w:pPr>
        <w:pStyle w:val="ListParagraph"/>
        <w:numPr>
          <w:ilvl w:val="0"/>
          <w:numId w:val="2"/>
        </w:numPr>
        <w:jc w:val="both"/>
        <w:rPr>
          <w:rFonts w:asciiTheme="minorHAnsi" w:hAnsiTheme="minorHAnsi"/>
        </w:rPr>
      </w:pPr>
      <w:r w:rsidRPr="00352054">
        <w:rPr>
          <w:rFonts w:asciiTheme="minorHAnsi" w:hAnsiTheme="minorHAnsi"/>
        </w:rPr>
        <w:t xml:space="preserve">Group discussion on harmonizing </w:t>
      </w:r>
      <w:r>
        <w:rPr>
          <w:rFonts w:asciiTheme="minorHAnsi" w:hAnsiTheme="minorHAnsi"/>
        </w:rPr>
        <w:t xml:space="preserve">a </w:t>
      </w:r>
      <w:r w:rsidRPr="00352054">
        <w:rPr>
          <w:rFonts w:asciiTheme="minorHAnsi" w:hAnsiTheme="minorHAnsi"/>
        </w:rPr>
        <w:t>definition</w:t>
      </w:r>
      <w:r>
        <w:rPr>
          <w:rFonts w:asciiTheme="minorHAnsi" w:hAnsiTheme="minorHAnsi"/>
        </w:rPr>
        <w:t xml:space="preserve"> </w:t>
      </w:r>
      <w:r w:rsidRPr="00352054">
        <w:rPr>
          <w:rFonts w:asciiTheme="minorHAnsi" w:hAnsiTheme="minorHAnsi"/>
        </w:rPr>
        <w:t xml:space="preserve">of small-scale </w:t>
      </w:r>
      <w:r>
        <w:rPr>
          <w:rFonts w:asciiTheme="minorHAnsi" w:hAnsiTheme="minorHAnsi"/>
        </w:rPr>
        <w:t xml:space="preserve">agricultural and forest </w:t>
      </w:r>
      <w:r w:rsidRPr="00352054">
        <w:rPr>
          <w:rFonts w:asciiTheme="minorHAnsi" w:hAnsiTheme="minorHAnsi"/>
        </w:rPr>
        <w:t>producers</w:t>
      </w:r>
      <w:r>
        <w:rPr>
          <w:rFonts w:asciiTheme="minorHAnsi" w:hAnsiTheme="minorHAnsi"/>
        </w:rPr>
        <w:t xml:space="preserve"> and on how to frame correlations between rights and social, economic and ecological outcomes (interventions (including via Skype) from Piero Conforti, Sven </w:t>
      </w:r>
      <w:proofErr w:type="spellStart"/>
      <w:r>
        <w:rPr>
          <w:rFonts w:asciiTheme="minorHAnsi" w:hAnsiTheme="minorHAnsi"/>
        </w:rPr>
        <w:t>Wunder</w:t>
      </w:r>
      <w:proofErr w:type="spellEnd"/>
      <w:r>
        <w:rPr>
          <w:rFonts w:asciiTheme="minorHAnsi" w:hAnsiTheme="minorHAnsi"/>
        </w:rPr>
        <w:t xml:space="preserve"> etc.- TBC)</w:t>
      </w:r>
    </w:p>
    <w:p w14:paraId="3AC1D2B8" w14:textId="77777777" w:rsidR="00A56D64" w:rsidRPr="00D227C7" w:rsidRDefault="00A56D64" w:rsidP="00F00AA1">
      <w:pPr>
        <w:pStyle w:val="Default"/>
        <w:numPr>
          <w:ilvl w:val="0"/>
          <w:numId w:val="2"/>
        </w:numPr>
        <w:jc w:val="both"/>
        <w:rPr>
          <w:rFonts w:asciiTheme="minorHAnsi" w:hAnsiTheme="minorHAnsi"/>
          <w:sz w:val="22"/>
          <w:szCs w:val="22"/>
        </w:rPr>
      </w:pPr>
      <w:r w:rsidRPr="00125A2B">
        <w:rPr>
          <w:rFonts w:asciiTheme="minorHAnsi" w:hAnsiTheme="minorHAnsi"/>
          <w:sz w:val="22"/>
          <w:szCs w:val="22"/>
        </w:rPr>
        <w:t>Facilitated discussion: creating a data platform, producing joint publications, integrating efforts to generate new data, preparing jointly proposals for funding etc. on correlating rights based approaches with impact of small agricultural and forest producers on positive outcomes related to SDGs and Climate mitigation and adaptation. (</w:t>
      </w:r>
      <w:r>
        <w:rPr>
          <w:rFonts w:asciiTheme="minorHAnsi" w:hAnsiTheme="minorHAnsi"/>
          <w:sz w:val="22"/>
          <w:szCs w:val="22"/>
        </w:rPr>
        <w:t xml:space="preserve">short </w:t>
      </w:r>
      <w:r w:rsidRPr="00125A2B">
        <w:rPr>
          <w:rFonts w:asciiTheme="minorHAnsi" w:hAnsiTheme="minorHAnsi"/>
          <w:sz w:val="22"/>
          <w:szCs w:val="22"/>
        </w:rPr>
        <w:t xml:space="preserve">interventions (including via Skype) from Ravi </w:t>
      </w:r>
      <w:proofErr w:type="spellStart"/>
      <w:r w:rsidRPr="00125A2B">
        <w:rPr>
          <w:rFonts w:asciiTheme="minorHAnsi" w:hAnsiTheme="minorHAnsi"/>
          <w:sz w:val="22"/>
          <w:szCs w:val="22"/>
        </w:rPr>
        <w:t>Prabhu</w:t>
      </w:r>
      <w:proofErr w:type="spellEnd"/>
      <w:r w:rsidRPr="00125A2B">
        <w:rPr>
          <w:rFonts w:asciiTheme="minorHAnsi" w:hAnsiTheme="minorHAnsi"/>
          <w:sz w:val="22"/>
          <w:szCs w:val="22"/>
        </w:rPr>
        <w:t xml:space="preserve">, Sven </w:t>
      </w:r>
      <w:proofErr w:type="spellStart"/>
      <w:r w:rsidRPr="00125A2B">
        <w:rPr>
          <w:rFonts w:asciiTheme="minorHAnsi" w:hAnsiTheme="minorHAnsi"/>
          <w:sz w:val="22"/>
          <w:szCs w:val="22"/>
        </w:rPr>
        <w:t>Wunder</w:t>
      </w:r>
      <w:proofErr w:type="spellEnd"/>
      <w:r w:rsidRPr="00125A2B">
        <w:rPr>
          <w:rFonts w:asciiTheme="minorHAnsi" w:hAnsiTheme="minorHAnsi"/>
          <w:sz w:val="22"/>
          <w:szCs w:val="22"/>
        </w:rPr>
        <w:t xml:space="preserve">, Peter </w:t>
      </w:r>
      <w:proofErr w:type="spellStart"/>
      <w:r w:rsidRPr="00125A2B">
        <w:rPr>
          <w:rFonts w:asciiTheme="minorHAnsi" w:hAnsiTheme="minorHAnsi"/>
          <w:sz w:val="22"/>
          <w:szCs w:val="22"/>
        </w:rPr>
        <w:t>Cronkleton</w:t>
      </w:r>
      <w:proofErr w:type="spellEnd"/>
      <w:r w:rsidRPr="00125A2B">
        <w:rPr>
          <w:rFonts w:asciiTheme="minorHAnsi" w:hAnsiTheme="minorHAnsi"/>
          <w:sz w:val="22"/>
          <w:szCs w:val="22"/>
        </w:rPr>
        <w:t xml:space="preserve">, Monica </w:t>
      </w:r>
      <w:proofErr w:type="spellStart"/>
      <w:r w:rsidRPr="00125A2B">
        <w:rPr>
          <w:rFonts w:asciiTheme="minorHAnsi" w:hAnsiTheme="minorHAnsi"/>
          <w:sz w:val="22"/>
          <w:szCs w:val="22"/>
        </w:rPr>
        <w:t>Gabay</w:t>
      </w:r>
      <w:proofErr w:type="spellEnd"/>
      <w:r w:rsidRPr="00125A2B">
        <w:rPr>
          <w:rFonts w:asciiTheme="minorHAnsi" w:hAnsiTheme="minorHAnsi"/>
          <w:sz w:val="22"/>
          <w:szCs w:val="22"/>
        </w:rPr>
        <w:t>, Arun Agrawal</w:t>
      </w:r>
      <w:r>
        <w:rPr>
          <w:rFonts w:asciiTheme="minorHAnsi" w:hAnsiTheme="minorHAnsi"/>
          <w:sz w:val="22"/>
          <w:szCs w:val="22"/>
        </w:rPr>
        <w:t xml:space="preserve"> </w:t>
      </w:r>
      <w:r w:rsidRPr="00125A2B">
        <w:rPr>
          <w:rFonts w:asciiTheme="minorHAnsi" w:hAnsiTheme="minorHAnsi"/>
          <w:sz w:val="22"/>
          <w:szCs w:val="22"/>
        </w:rPr>
        <w:t>etc.- TBC)</w:t>
      </w:r>
      <w:r w:rsidRPr="00125A2B">
        <w:rPr>
          <w:rFonts w:eastAsia="Times New Roman"/>
          <w:i/>
          <w:sz w:val="22"/>
          <w:szCs w:val="22"/>
          <w:lang w:eastAsia="en-GB"/>
        </w:rPr>
        <w:t xml:space="preserve"> </w:t>
      </w:r>
    </w:p>
    <w:p w14:paraId="38BDB52F" w14:textId="77777777" w:rsidR="00A56D64" w:rsidRPr="00352054" w:rsidRDefault="00A56D64" w:rsidP="00F00AA1">
      <w:pPr>
        <w:pStyle w:val="ListParagraph"/>
        <w:numPr>
          <w:ilvl w:val="0"/>
          <w:numId w:val="2"/>
        </w:numPr>
        <w:jc w:val="both"/>
        <w:rPr>
          <w:rFonts w:asciiTheme="minorHAnsi" w:hAnsiTheme="minorHAnsi"/>
        </w:rPr>
      </w:pPr>
      <w:r>
        <w:rPr>
          <w:rFonts w:asciiTheme="minorHAnsi" w:hAnsiTheme="minorHAnsi"/>
        </w:rPr>
        <w:t>Takeaway messages and next steps (Illias Animon)</w:t>
      </w:r>
    </w:p>
    <w:p w14:paraId="60DCABD5" w14:textId="77777777" w:rsidR="00A56D64" w:rsidRPr="00352054" w:rsidRDefault="00A56D64" w:rsidP="00F00AA1">
      <w:pPr>
        <w:pStyle w:val="ListParagraph"/>
        <w:numPr>
          <w:ilvl w:val="0"/>
          <w:numId w:val="2"/>
        </w:numPr>
        <w:spacing w:after="0" w:line="240" w:lineRule="auto"/>
        <w:jc w:val="both"/>
        <w:rPr>
          <w:rFonts w:asciiTheme="minorHAnsi" w:hAnsiTheme="minorHAnsi"/>
        </w:rPr>
      </w:pPr>
      <w:r w:rsidRPr="00352054">
        <w:rPr>
          <w:rFonts w:asciiTheme="minorHAnsi" w:hAnsiTheme="minorHAnsi"/>
        </w:rPr>
        <w:t xml:space="preserve">Wrapping up </w:t>
      </w:r>
      <w:r>
        <w:rPr>
          <w:rFonts w:asciiTheme="minorHAnsi" w:hAnsiTheme="minorHAnsi"/>
        </w:rPr>
        <w:t>(Jeffrey Campbell)</w:t>
      </w:r>
    </w:p>
    <w:p w14:paraId="75F7BEED" w14:textId="77777777" w:rsidR="00A56D64" w:rsidRDefault="00A56D64" w:rsidP="00C060F9">
      <w:pPr>
        <w:pStyle w:val="Default"/>
        <w:ind w:left="360"/>
        <w:jc w:val="both"/>
        <w:rPr>
          <w:rFonts w:asciiTheme="minorHAnsi" w:hAnsiTheme="minorHAnsi"/>
          <w:sz w:val="22"/>
          <w:szCs w:val="22"/>
        </w:rPr>
      </w:pPr>
    </w:p>
    <w:p w14:paraId="0578168A" w14:textId="26B8B5E4" w:rsidR="00C060F9" w:rsidRDefault="00C060F9" w:rsidP="00723E70">
      <w:pPr>
        <w:pStyle w:val="Default"/>
        <w:jc w:val="both"/>
        <w:rPr>
          <w:rFonts w:asciiTheme="minorHAnsi" w:hAnsiTheme="minorHAnsi"/>
          <w:sz w:val="22"/>
          <w:szCs w:val="22"/>
        </w:rPr>
      </w:pPr>
      <w:r>
        <w:rPr>
          <w:rFonts w:asciiTheme="minorHAnsi" w:hAnsiTheme="minorHAnsi"/>
          <w:sz w:val="22"/>
          <w:szCs w:val="22"/>
        </w:rPr>
        <w:t xml:space="preserve">Webpage: </w:t>
      </w:r>
      <w:hyperlink r:id="rId9" w:history="1">
        <w:r w:rsidRPr="00003E70">
          <w:rPr>
            <w:rStyle w:val="Hyperlink"/>
            <w:rFonts w:asciiTheme="minorHAnsi" w:hAnsiTheme="minorHAnsi"/>
            <w:sz w:val="22"/>
            <w:szCs w:val="22"/>
          </w:rPr>
          <w:t>http://www.forestlivelihoods.org/flare-meeting-2017/workshops/</w:t>
        </w:r>
      </w:hyperlink>
      <w:r>
        <w:rPr>
          <w:rFonts w:asciiTheme="minorHAnsi" w:hAnsiTheme="minorHAnsi"/>
          <w:sz w:val="22"/>
          <w:szCs w:val="22"/>
        </w:rPr>
        <w:t xml:space="preserve"> </w:t>
      </w:r>
    </w:p>
    <w:p w14:paraId="3B3BA1D3" w14:textId="77777777" w:rsidR="007B6A7D" w:rsidRDefault="007B6A7D" w:rsidP="00723E70">
      <w:pPr>
        <w:pStyle w:val="Default"/>
        <w:jc w:val="both"/>
        <w:rPr>
          <w:rFonts w:asciiTheme="minorHAnsi" w:hAnsiTheme="minorHAnsi"/>
          <w:sz w:val="22"/>
          <w:szCs w:val="22"/>
        </w:rPr>
      </w:pPr>
    </w:p>
    <w:p w14:paraId="7BBD5853" w14:textId="27EB4337" w:rsidR="00723E70" w:rsidRDefault="00723E70" w:rsidP="000F637C">
      <w:pPr>
        <w:pStyle w:val="Default"/>
        <w:rPr>
          <w:rFonts w:asciiTheme="minorHAnsi" w:hAnsiTheme="minorHAnsi"/>
          <w:sz w:val="22"/>
          <w:szCs w:val="22"/>
        </w:rPr>
      </w:pPr>
      <w:r>
        <w:rPr>
          <w:rFonts w:asciiTheme="minorHAnsi" w:hAnsiTheme="minorHAnsi"/>
          <w:sz w:val="22"/>
          <w:szCs w:val="22"/>
        </w:rPr>
        <w:t xml:space="preserve">Contacts: Jeffrey Campbell </w:t>
      </w:r>
      <w:r w:rsidR="000F637C">
        <w:rPr>
          <w:rFonts w:asciiTheme="minorHAnsi" w:hAnsiTheme="minorHAnsi"/>
          <w:sz w:val="22"/>
          <w:szCs w:val="22"/>
        </w:rPr>
        <w:t>(</w:t>
      </w:r>
      <w:hyperlink r:id="rId10" w:history="1">
        <w:r w:rsidR="000F637C" w:rsidRPr="00003E70">
          <w:rPr>
            <w:rStyle w:val="Hyperlink"/>
            <w:rFonts w:asciiTheme="minorHAnsi" w:hAnsiTheme="minorHAnsi"/>
            <w:sz w:val="22"/>
            <w:szCs w:val="22"/>
          </w:rPr>
          <w:t>Jeffrey.Campbell@fao.org</w:t>
        </w:r>
      </w:hyperlink>
      <w:r w:rsidR="000F637C">
        <w:rPr>
          <w:rFonts w:asciiTheme="minorHAnsi" w:hAnsiTheme="minorHAnsi"/>
          <w:sz w:val="22"/>
          <w:szCs w:val="22"/>
        </w:rPr>
        <w:t>) or</w:t>
      </w:r>
      <w:r>
        <w:rPr>
          <w:rFonts w:asciiTheme="minorHAnsi" w:hAnsiTheme="minorHAnsi"/>
          <w:sz w:val="22"/>
          <w:szCs w:val="22"/>
        </w:rPr>
        <w:t xml:space="preserve"> Illias Animon </w:t>
      </w:r>
      <w:r w:rsidR="000F637C">
        <w:rPr>
          <w:rFonts w:asciiTheme="minorHAnsi" w:hAnsiTheme="minorHAnsi"/>
          <w:sz w:val="22"/>
          <w:szCs w:val="22"/>
        </w:rPr>
        <w:t>(</w:t>
      </w:r>
      <w:hyperlink r:id="rId11" w:history="1">
        <w:r w:rsidR="000F637C" w:rsidRPr="00003E70">
          <w:rPr>
            <w:rStyle w:val="Hyperlink"/>
            <w:rFonts w:asciiTheme="minorHAnsi" w:hAnsiTheme="minorHAnsi"/>
            <w:sz w:val="22"/>
            <w:szCs w:val="22"/>
          </w:rPr>
          <w:t>Illias.Animon@fao.org</w:t>
        </w:r>
      </w:hyperlink>
      <w:r w:rsidR="000F637C">
        <w:rPr>
          <w:rFonts w:asciiTheme="minorHAnsi" w:hAnsiTheme="minorHAnsi"/>
          <w:sz w:val="22"/>
          <w:szCs w:val="22"/>
        </w:rPr>
        <w:t>), FAO</w:t>
      </w:r>
    </w:p>
    <w:p w14:paraId="17994343" w14:textId="6DB61975" w:rsidR="00723E70" w:rsidRPr="00352054" w:rsidRDefault="00723E70" w:rsidP="00C060F9">
      <w:pPr>
        <w:pStyle w:val="Default"/>
        <w:ind w:left="360"/>
        <w:jc w:val="both"/>
        <w:rPr>
          <w:rFonts w:asciiTheme="minorHAnsi" w:hAnsiTheme="minorHAnsi"/>
          <w:sz w:val="22"/>
          <w:szCs w:val="22"/>
        </w:rPr>
      </w:pPr>
    </w:p>
    <w:sectPr w:rsidR="00723E70" w:rsidRPr="00352054" w:rsidSect="00090B59">
      <w:pgSz w:w="12240" w:h="16340"/>
      <w:pgMar w:top="720" w:right="965" w:bottom="720" w:left="99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7438"/>
    <w:multiLevelType w:val="hybridMultilevel"/>
    <w:tmpl w:val="B0F8D196"/>
    <w:lvl w:ilvl="0" w:tplc="DDCC9F9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01AE7"/>
    <w:multiLevelType w:val="hybridMultilevel"/>
    <w:tmpl w:val="8C808B0E"/>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5063858"/>
    <w:multiLevelType w:val="hybridMultilevel"/>
    <w:tmpl w:val="41664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30C0A"/>
    <w:multiLevelType w:val="hybridMultilevel"/>
    <w:tmpl w:val="04FCB552"/>
    <w:lvl w:ilvl="0" w:tplc="DDCC9F9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581FA3"/>
    <w:multiLevelType w:val="hybridMultilevel"/>
    <w:tmpl w:val="41664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3F41C1"/>
    <w:multiLevelType w:val="hybridMultilevel"/>
    <w:tmpl w:val="89003132"/>
    <w:lvl w:ilvl="0" w:tplc="DDCC9F9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FA2"/>
    <w:rsid w:val="00035567"/>
    <w:rsid w:val="00036580"/>
    <w:rsid w:val="00044C95"/>
    <w:rsid w:val="000562E1"/>
    <w:rsid w:val="00067A70"/>
    <w:rsid w:val="00090B59"/>
    <w:rsid w:val="00091C44"/>
    <w:rsid w:val="000C1A55"/>
    <w:rsid w:val="000D12F2"/>
    <w:rsid w:val="000F637C"/>
    <w:rsid w:val="001027A2"/>
    <w:rsid w:val="00125A2B"/>
    <w:rsid w:val="0016557D"/>
    <w:rsid w:val="00197947"/>
    <w:rsid w:val="001A2DF3"/>
    <w:rsid w:val="00267F68"/>
    <w:rsid w:val="0027232B"/>
    <w:rsid w:val="00277E44"/>
    <w:rsid w:val="002A03F8"/>
    <w:rsid w:val="002D1D6D"/>
    <w:rsid w:val="00352054"/>
    <w:rsid w:val="00396826"/>
    <w:rsid w:val="003A24F8"/>
    <w:rsid w:val="003A51E3"/>
    <w:rsid w:val="003B5770"/>
    <w:rsid w:val="003C5760"/>
    <w:rsid w:val="004418C6"/>
    <w:rsid w:val="00445909"/>
    <w:rsid w:val="004776BD"/>
    <w:rsid w:val="00577FA2"/>
    <w:rsid w:val="005E0EE4"/>
    <w:rsid w:val="005F0562"/>
    <w:rsid w:val="005F4D04"/>
    <w:rsid w:val="00606DB4"/>
    <w:rsid w:val="0062747B"/>
    <w:rsid w:val="00642F22"/>
    <w:rsid w:val="006C2794"/>
    <w:rsid w:val="006F3F5D"/>
    <w:rsid w:val="00723E70"/>
    <w:rsid w:val="007B6A7D"/>
    <w:rsid w:val="008250DE"/>
    <w:rsid w:val="008A2AEA"/>
    <w:rsid w:val="008D35DC"/>
    <w:rsid w:val="009915BF"/>
    <w:rsid w:val="00996F97"/>
    <w:rsid w:val="009F1AF9"/>
    <w:rsid w:val="00A500AE"/>
    <w:rsid w:val="00A52391"/>
    <w:rsid w:val="00A543CF"/>
    <w:rsid w:val="00A56D64"/>
    <w:rsid w:val="00A63A58"/>
    <w:rsid w:val="00A77F82"/>
    <w:rsid w:val="00AC7F8A"/>
    <w:rsid w:val="00AD050D"/>
    <w:rsid w:val="00B06238"/>
    <w:rsid w:val="00B252C8"/>
    <w:rsid w:val="00B27011"/>
    <w:rsid w:val="00B76F1E"/>
    <w:rsid w:val="00C060F9"/>
    <w:rsid w:val="00C06BD3"/>
    <w:rsid w:val="00C34EF6"/>
    <w:rsid w:val="00C55C0B"/>
    <w:rsid w:val="00CF7262"/>
    <w:rsid w:val="00D227C7"/>
    <w:rsid w:val="00D5008D"/>
    <w:rsid w:val="00DA63B2"/>
    <w:rsid w:val="00E207F0"/>
    <w:rsid w:val="00E2283A"/>
    <w:rsid w:val="00E6402A"/>
    <w:rsid w:val="00E75179"/>
    <w:rsid w:val="00E77DB4"/>
    <w:rsid w:val="00F00AA1"/>
    <w:rsid w:val="00F21CE0"/>
    <w:rsid w:val="00F71CBE"/>
    <w:rsid w:val="00F74C8F"/>
    <w:rsid w:val="00F82BA3"/>
    <w:rsid w:val="00FB4D75"/>
    <w:rsid w:val="00FC6F5C"/>
    <w:rsid w:val="00FF0403"/>
    <w:rsid w:val="00FF11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8AE5A"/>
  <w15:chartTrackingRefBased/>
  <w15:docId w15:val="{E05B8741-B525-4BBF-8BE1-6AE3C10D0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7FA2"/>
    <w:pPr>
      <w:autoSpaceDE w:val="0"/>
      <w:autoSpaceDN w:val="0"/>
      <w:adjustRightInd w:val="0"/>
      <w:spacing w:after="0" w:line="240" w:lineRule="auto"/>
    </w:pPr>
    <w:rPr>
      <w:rFonts w:ascii="Nirmala UI" w:hAnsi="Nirmala UI" w:cs="Nirmala UI"/>
      <w:color w:val="000000"/>
      <w:sz w:val="24"/>
      <w:szCs w:val="24"/>
    </w:rPr>
  </w:style>
  <w:style w:type="paragraph" w:styleId="ListParagraph">
    <w:name w:val="List Paragraph"/>
    <w:basedOn w:val="Normal"/>
    <w:uiPriority w:val="34"/>
    <w:qFormat/>
    <w:rsid w:val="00E207F0"/>
    <w:pPr>
      <w:spacing w:line="252" w:lineRule="auto"/>
      <w:ind w:left="720"/>
      <w:contextualSpacing/>
    </w:pPr>
    <w:rPr>
      <w:rFonts w:ascii="Calibri" w:hAnsi="Calibri" w:cs="Times New Roman"/>
    </w:rPr>
  </w:style>
  <w:style w:type="character" w:styleId="CommentReference">
    <w:name w:val="annotation reference"/>
    <w:basedOn w:val="DefaultParagraphFont"/>
    <w:uiPriority w:val="99"/>
    <w:semiHidden/>
    <w:unhideWhenUsed/>
    <w:rsid w:val="00D5008D"/>
    <w:rPr>
      <w:sz w:val="16"/>
      <w:szCs w:val="16"/>
    </w:rPr>
  </w:style>
  <w:style w:type="paragraph" w:styleId="CommentText">
    <w:name w:val="annotation text"/>
    <w:basedOn w:val="Normal"/>
    <w:link w:val="CommentTextChar"/>
    <w:uiPriority w:val="99"/>
    <w:semiHidden/>
    <w:unhideWhenUsed/>
    <w:rsid w:val="00D5008D"/>
    <w:pPr>
      <w:spacing w:line="240" w:lineRule="auto"/>
    </w:pPr>
    <w:rPr>
      <w:sz w:val="20"/>
      <w:szCs w:val="20"/>
    </w:rPr>
  </w:style>
  <w:style w:type="character" w:customStyle="1" w:styleId="CommentTextChar">
    <w:name w:val="Comment Text Char"/>
    <w:basedOn w:val="DefaultParagraphFont"/>
    <w:link w:val="CommentText"/>
    <w:uiPriority w:val="99"/>
    <w:semiHidden/>
    <w:rsid w:val="00D5008D"/>
    <w:rPr>
      <w:sz w:val="20"/>
      <w:szCs w:val="20"/>
    </w:rPr>
  </w:style>
  <w:style w:type="paragraph" w:styleId="CommentSubject">
    <w:name w:val="annotation subject"/>
    <w:basedOn w:val="CommentText"/>
    <w:next w:val="CommentText"/>
    <w:link w:val="CommentSubjectChar"/>
    <w:uiPriority w:val="99"/>
    <w:semiHidden/>
    <w:unhideWhenUsed/>
    <w:rsid w:val="00D5008D"/>
    <w:rPr>
      <w:b/>
      <w:bCs/>
    </w:rPr>
  </w:style>
  <w:style w:type="character" w:customStyle="1" w:styleId="CommentSubjectChar">
    <w:name w:val="Comment Subject Char"/>
    <w:basedOn w:val="CommentTextChar"/>
    <w:link w:val="CommentSubject"/>
    <w:uiPriority w:val="99"/>
    <w:semiHidden/>
    <w:rsid w:val="00D5008D"/>
    <w:rPr>
      <w:b/>
      <w:bCs/>
      <w:sz w:val="20"/>
      <w:szCs w:val="20"/>
    </w:rPr>
  </w:style>
  <w:style w:type="paragraph" w:styleId="BalloonText">
    <w:name w:val="Balloon Text"/>
    <w:basedOn w:val="Normal"/>
    <w:link w:val="BalloonTextChar"/>
    <w:uiPriority w:val="99"/>
    <w:semiHidden/>
    <w:unhideWhenUsed/>
    <w:rsid w:val="00D500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08D"/>
    <w:rPr>
      <w:rFonts w:ascii="Segoe UI" w:hAnsi="Segoe UI" w:cs="Segoe UI"/>
      <w:sz w:val="18"/>
      <w:szCs w:val="18"/>
    </w:rPr>
  </w:style>
  <w:style w:type="character" w:styleId="Hyperlink">
    <w:name w:val="Hyperlink"/>
    <w:basedOn w:val="DefaultParagraphFont"/>
    <w:uiPriority w:val="99"/>
    <w:unhideWhenUsed/>
    <w:rsid w:val="00C060F9"/>
    <w:rPr>
      <w:color w:val="0563C1" w:themeColor="hyperlink"/>
      <w:u w:val="single"/>
    </w:rPr>
  </w:style>
  <w:style w:type="table" w:styleId="TableGrid">
    <w:name w:val="Table Grid"/>
    <w:basedOn w:val="TableNormal"/>
    <w:uiPriority w:val="39"/>
    <w:rsid w:val="00396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686345">
      <w:bodyDiv w:val="1"/>
      <w:marLeft w:val="0"/>
      <w:marRight w:val="0"/>
      <w:marTop w:val="0"/>
      <w:marBottom w:val="0"/>
      <w:divBdr>
        <w:top w:val="none" w:sz="0" w:space="0" w:color="auto"/>
        <w:left w:val="none" w:sz="0" w:space="0" w:color="auto"/>
        <w:bottom w:val="none" w:sz="0" w:space="0" w:color="auto"/>
        <w:right w:val="none" w:sz="0" w:space="0" w:color="auto"/>
      </w:divBdr>
    </w:div>
    <w:div w:id="2074816686">
      <w:bodyDiv w:val="1"/>
      <w:marLeft w:val="0"/>
      <w:marRight w:val="0"/>
      <w:marTop w:val="0"/>
      <w:marBottom w:val="0"/>
      <w:divBdr>
        <w:top w:val="single" w:sz="24" w:space="0" w:color="285F3C"/>
        <w:left w:val="none" w:sz="0" w:space="0" w:color="285F3C"/>
        <w:bottom w:val="none" w:sz="0" w:space="0" w:color="285F3C"/>
        <w:right w:val="none" w:sz="0" w:space="0" w:color="285F3C"/>
      </w:divBdr>
      <w:divsChild>
        <w:div w:id="1043477374">
          <w:marLeft w:val="0"/>
          <w:marRight w:val="0"/>
          <w:marTop w:val="0"/>
          <w:marBottom w:val="0"/>
          <w:divBdr>
            <w:top w:val="none" w:sz="0" w:space="0" w:color="auto"/>
            <w:left w:val="none" w:sz="0" w:space="0" w:color="auto"/>
            <w:bottom w:val="none" w:sz="0" w:space="0" w:color="auto"/>
            <w:right w:val="none" w:sz="0" w:space="0" w:color="auto"/>
          </w:divBdr>
          <w:divsChild>
            <w:div w:id="1559319536">
              <w:marLeft w:val="-225"/>
              <w:marRight w:val="-225"/>
              <w:marTop w:val="0"/>
              <w:marBottom w:val="0"/>
              <w:divBdr>
                <w:top w:val="none" w:sz="0" w:space="0" w:color="auto"/>
                <w:left w:val="none" w:sz="0" w:space="0" w:color="auto"/>
                <w:bottom w:val="none" w:sz="0" w:space="0" w:color="auto"/>
                <w:right w:val="none" w:sz="0" w:space="0" w:color="auto"/>
              </w:divBdr>
              <w:divsChild>
                <w:div w:id="1686246634">
                  <w:marLeft w:val="0"/>
                  <w:marRight w:val="0"/>
                  <w:marTop w:val="0"/>
                  <w:marBottom w:val="0"/>
                  <w:divBdr>
                    <w:top w:val="none" w:sz="0" w:space="0" w:color="auto"/>
                    <w:left w:val="none" w:sz="0" w:space="0" w:color="auto"/>
                    <w:bottom w:val="none" w:sz="0" w:space="0" w:color="auto"/>
                    <w:right w:val="none" w:sz="0" w:space="0" w:color="auto"/>
                  </w:divBdr>
                  <w:divsChild>
                    <w:div w:id="926764690">
                      <w:marLeft w:val="-225"/>
                      <w:marRight w:val="-225"/>
                      <w:marTop w:val="0"/>
                      <w:marBottom w:val="0"/>
                      <w:divBdr>
                        <w:top w:val="none" w:sz="0" w:space="0" w:color="auto"/>
                        <w:left w:val="none" w:sz="0" w:space="0" w:color="auto"/>
                        <w:bottom w:val="none" w:sz="0" w:space="0" w:color="auto"/>
                        <w:right w:val="none" w:sz="0" w:space="0" w:color="auto"/>
                      </w:divBdr>
                      <w:divsChild>
                        <w:div w:id="348652012">
                          <w:marLeft w:val="0"/>
                          <w:marRight w:val="0"/>
                          <w:marTop w:val="0"/>
                          <w:marBottom w:val="0"/>
                          <w:divBdr>
                            <w:top w:val="none" w:sz="0" w:space="0" w:color="auto"/>
                            <w:left w:val="none" w:sz="0" w:space="0" w:color="auto"/>
                            <w:bottom w:val="none" w:sz="0" w:space="0" w:color="auto"/>
                            <w:right w:val="none" w:sz="0" w:space="0" w:color="auto"/>
                          </w:divBdr>
                          <w:divsChild>
                            <w:div w:id="582955699">
                              <w:marLeft w:val="0"/>
                              <w:marRight w:val="0"/>
                              <w:marTop w:val="0"/>
                              <w:marBottom w:val="0"/>
                              <w:divBdr>
                                <w:top w:val="none" w:sz="0" w:space="0" w:color="auto"/>
                                <w:left w:val="none" w:sz="0" w:space="0" w:color="auto"/>
                                <w:bottom w:val="none" w:sz="0" w:space="0" w:color="auto"/>
                                <w:right w:val="none" w:sz="0" w:space="0" w:color="auto"/>
                              </w:divBdr>
                              <w:divsChild>
                                <w:div w:id="255139352">
                                  <w:marLeft w:val="0"/>
                                  <w:marRight w:val="0"/>
                                  <w:marTop w:val="450"/>
                                  <w:marBottom w:val="0"/>
                                  <w:divBdr>
                                    <w:top w:val="none" w:sz="0" w:space="0" w:color="auto"/>
                                    <w:left w:val="none" w:sz="0" w:space="0" w:color="auto"/>
                                    <w:bottom w:val="none" w:sz="0" w:space="0" w:color="auto"/>
                                    <w:right w:val="none" w:sz="0" w:space="0" w:color="auto"/>
                                  </w:divBdr>
                                  <w:divsChild>
                                    <w:div w:id="975987816">
                                      <w:marLeft w:val="0"/>
                                      <w:marRight w:val="0"/>
                                      <w:marTop w:val="0"/>
                                      <w:marBottom w:val="0"/>
                                      <w:divBdr>
                                        <w:top w:val="none" w:sz="0" w:space="0" w:color="auto"/>
                                        <w:left w:val="none" w:sz="0" w:space="0" w:color="auto"/>
                                        <w:bottom w:val="none" w:sz="0" w:space="0" w:color="auto"/>
                                        <w:right w:val="none" w:sz="0" w:space="0" w:color="auto"/>
                                      </w:divBdr>
                                      <w:divsChild>
                                        <w:div w:id="208996104">
                                          <w:marLeft w:val="0"/>
                                          <w:marRight w:val="0"/>
                                          <w:marTop w:val="0"/>
                                          <w:marBottom w:val="0"/>
                                          <w:divBdr>
                                            <w:top w:val="none" w:sz="0" w:space="0" w:color="auto"/>
                                            <w:left w:val="none" w:sz="0" w:space="0" w:color="auto"/>
                                            <w:bottom w:val="none" w:sz="0" w:space="0" w:color="auto"/>
                                            <w:right w:val="none" w:sz="0" w:space="0" w:color="auto"/>
                                          </w:divBdr>
                                          <w:divsChild>
                                            <w:div w:id="1260720983">
                                              <w:marLeft w:val="-225"/>
                                              <w:marRight w:val="-225"/>
                                              <w:marTop w:val="0"/>
                                              <w:marBottom w:val="0"/>
                                              <w:divBdr>
                                                <w:top w:val="none" w:sz="0" w:space="0" w:color="auto"/>
                                                <w:left w:val="none" w:sz="0" w:space="0" w:color="auto"/>
                                                <w:bottom w:val="none" w:sz="0" w:space="0" w:color="auto"/>
                                                <w:right w:val="none" w:sz="0" w:space="0" w:color="auto"/>
                                              </w:divBdr>
                                              <w:divsChild>
                                                <w:div w:id="267081232">
                                                  <w:marLeft w:val="0"/>
                                                  <w:marRight w:val="0"/>
                                                  <w:marTop w:val="0"/>
                                                  <w:marBottom w:val="0"/>
                                                  <w:divBdr>
                                                    <w:top w:val="none" w:sz="0" w:space="0" w:color="auto"/>
                                                    <w:left w:val="none" w:sz="0" w:space="0" w:color="auto"/>
                                                    <w:bottom w:val="none" w:sz="0" w:space="0" w:color="auto"/>
                                                    <w:right w:val="none" w:sz="0" w:space="0" w:color="auto"/>
                                                  </w:divBdr>
                                                  <w:divsChild>
                                                    <w:div w:id="1658916969">
                                                      <w:marLeft w:val="0"/>
                                                      <w:marRight w:val="0"/>
                                                      <w:marTop w:val="0"/>
                                                      <w:marBottom w:val="0"/>
                                                      <w:divBdr>
                                                        <w:top w:val="none" w:sz="0" w:space="0" w:color="auto"/>
                                                        <w:left w:val="none" w:sz="0" w:space="0" w:color="auto"/>
                                                        <w:bottom w:val="none" w:sz="0" w:space="0" w:color="auto"/>
                                                        <w:right w:val="none" w:sz="0" w:space="0" w:color="auto"/>
                                                      </w:divBdr>
                                                      <w:divsChild>
                                                        <w:div w:id="25023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are_2017.eventbrit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Illias.Animon@fao.org" TargetMode="External"/><Relationship Id="rId5" Type="http://schemas.openxmlformats.org/officeDocument/2006/relationships/image" Target="media/image1.jpeg"/><Relationship Id="rId10" Type="http://schemas.openxmlformats.org/officeDocument/2006/relationships/hyperlink" Target="mailto:Jeffrey.Campbell@fao.org" TargetMode="External"/><Relationship Id="rId4" Type="http://schemas.openxmlformats.org/officeDocument/2006/relationships/webSettings" Target="webSettings.xml"/><Relationship Id="rId9" Type="http://schemas.openxmlformats.org/officeDocument/2006/relationships/hyperlink" Target="http://www.forestlivelihoods.org/flare-meeting-2017/worksho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705</TotalTime>
  <Pages>2</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Animon, Illias (FOA)</dc:creator>
  <cp:keywords/>
  <dc:description/>
  <cp:lastModifiedBy>Animon, Illias (FOA)</cp:lastModifiedBy>
  <cp:revision>17</cp:revision>
  <dcterms:created xsi:type="dcterms:W3CDTF">2017-08-09T19:31:00Z</dcterms:created>
  <dcterms:modified xsi:type="dcterms:W3CDTF">2017-08-15T06:21:00Z</dcterms:modified>
</cp:coreProperties>
</file>