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C2E" w:rsidRPr="00E27D6E" w:rsidRDefault="00E27D6E" w:rsidP="00A15C2E">
      <w:pPr>
        <w:jc w:val="center"/>
        <w:rPr>
          <w:b/>
          <w:sz w:val="24"/>
          <w:szCs w:val="24"/>
        </w:rPr>
      </w:pPr>
      <w:r w:rsidRPr="00E27D6E">
        <w:rPr>
          <w:b/>
          <w:sz w:val="24"/>
          <w:szCs w:val="24"/>
        </w:rPr>
        <w:t xml:space="preserve">Proposed Work Plan for </w:t>
      </w:r>
    </w:p>
    <w:p w:rsidR="00F549EF" w:rsidRPr="00610DB7" w:rsidRDefault="00F549EF" w:rsidP="00A15C2E">
      <w:pPr>
        <w:jc w:val="center"/>
        <w:rPr>
          <w:sz w:val="24"/>
          <w:szCs w:val="24"/>
        </w:rPr>
      </w:pPr>
    </w:p>
    <w:p w:rsidR="00D44914" w:rsidRPr="00610DB7" w:rsidRDefault="002A5541" w:rsidP="00A15C2E">
      <w:pPr>
        <w:jc w:val="center"/>
        <w:rPr>
          <w:sz w:val="24"/>
          <w:szCs w:val="24"/>
          <w:lang w:val="en-GB"/>
        </w:rPr>
      </w:pPr>
      <w:r w:rsidRPr="00610DB7">
        <w:rPr>
          <w:b/>
          <w:sz w:val="24"/>
          <w:szCs w:val="24"/>
        </w:rPr>
        <w:t xml:space="preserve">Finalizing Phase I and Transition from Phase I to </w:t>
      </w:r>
      <w:r w:rsidR="00A15C2E" w:rsidRPr="00610DB7">
        <w:rPr>
          <w:b/>
          <w:sz w:val="24"/>
          <w:szCs w:val="24"/>
        </w:rPr>
        <w:t xml:space="preserve">Phase II of the Forest and Farm </w:t>
      </w:r>
      <w:r w:rsidR="00F549EF" w:rsidRPr="00610DB7">
        <w:rPr>
          <w:b/>
          <w:sz w:val="24"/>
          <w:szCs w:val="24"/>
        </w:rPr>
        <w:t>Facility:</w:t>
      </w:r>
      <w:r w:rsidR="00A15C2E" w:rsidRPr="00610DB7">
        <w:rPr>
          <w:b/>
          <w:sz w:val="24"/>
          <w:szCs w:val="24"/>
        </w:rPr>
        <w:t xml:space="preserve"> </w:t>
      </w:r>
    </w:p>
    <w:p w:rsidR="00A15C2E" w:rsidRPr="00610DB7" w:rsidRDefault="00A15C2E" w:rsidP="00A15C2E">
      <w:pPr>
        <w:rPr>
          <w:sz w:val="24"/>
          <w:szCs w:val="24"/>
          <w:lang w:val="en-GB"/>
        </w:rPr>
      </w:pPr>
    </w:p>
    <w:p w:rsidR="00A15C2E" w:rsidRPr="00610DB7" w:rsidRDefault="00A15C2E" w:rsidP="00A15C2E">
      <w:pPr>
        <w:rPr>
          <w:sz w:val="24"/>
          <w:szCs w:val="24"/>
          <w:lang w:val="en-GB"/>
        </w:rPr>
      </w:pPr>
      <w:r w:rsidRPr="00610DB7">
        <w:rPr>
          <w:sz w:val="24"/>
          <w:szCs w:val="24"/>
          <w:lang w:val="en-GB"/>
        </w:rPr>
        <w:t xml:space="preserve">Overview: </w:t>
      </w:r>
    </w:p>
    <w:p w:rsidR="00355E74" w:rsidRPr="00610DB7" w:rsidRDefault="00355E74" w:rsidP="00A15C2E">
      <w:pPr>
        <w:rPr>
          <w:sz w:val="24"/>
          <w:szCs w:val="24"/>
          <w:lang w:val="en-GB"/>
        </w:rPr>
      </w:pPr>
    </w:p>
    <w:p w:rsidR="002F2344" w:rsidRPr="00610DB7" w:rsidRDefault="00A15C2E" w:rsidP="00A15C2E">
      <w:pPr>
        <w:rPr>
          <w:sz w:val="24"/>
          <w:szCs w:val="24"/>
          <w:lang w:val="en-GB"/>
        </w:rPr>
      </w:pPr>
      <w:r w:rsidRPr="00610DB7">
        <w:rPr>
          <w:sz w:val="24"/>
          <w:szCs w:val="24"/>
          <w:lang w:val="en-GB"/>
        </w:rPr>
        <w:t xml:space="preserve">This proposal requests </w:t>
      </w:r>
      <w:r w:rsidR="002852F2" w:rsidRPr="00610DB7">
        <w:rPr>
          <w:sz w:val="24"/>
          <w:szCs w:val="24"/>
          <w:lang w:val="en-GB"/>
        </w:rPr>
        <w:t xml:space="preserve">a </w:t>
      </w:r>
      <w:r w:rsidR="00FE1933" w:rsidRPr="00610DB7">
        <w:rPr>
          <w:sz w:val="24"/>
          <w:szCs w:val="24"/>
          <w:lang w:val="en-GB"/>
        </w:rPr>
        <w:t>nine month</w:t>
      </w:r>
      <w:r w:rsidR="002852F2" w:rsidRPr="00610DB7">
        <w:rPr>
          <w:sz w:val="24"/>
          <w:szCs w:val="24"/>
          <w:lang w:val="en-GB"/>
        </w:rPr>
        <w:t xml:space="preserve"> extension of </w:t>
      </w:r>
      <w:r w:rsidR="00FE1933" w:rsidRPr="00610DB7">
        <w:rPr>
          <w:sz w:val="24"/>
          <w:szCs w:val="24"/>
          <w:lang w:val="en-GB"/>
        </w:rPr>
        <w:t xml:space="preserve">the current </w:t>
      </w:r>
      <w:r w:rsidR="002852F2" w:rsidRPr="00610DB7">
        <w:rPr>
          <w:sz w:val="24"/>
          <w:szCs w:val="24"/>
          <w:lang w:val="en-GB"/>
        </w:rPr>
        <w:t xml:space="preserve">GCP/GLO/495/MUL </w:t>
      </w:r>
      <w:r w:rsidR="00FE1933" w:rsidRPr="00610DB7">
        <w:rPr>
          <w:sz w:val="24"/>
          <w:szCs w:val="24"/>
          <w:lang w:val="en-GB"/>
        </w:rPr>
        <w:t xml:space="preserve">for the Forest and Farm </w:t>
      </w:r>
      <w:r w:rsidR="00FF6056" w:rsidRPr="00610DB7">
        <w:rPr>
          <w:sz w:val="24"/>
          <w:szCs w:val="24"/>
          <w:lang w:val="en-GB"/>
        </w:rPr>
        <w:t>Facility through</w:t>
      </w:r>
      <w:r w:rsidR="007D335D" w:rsidRPr="00610DB7">
        <w:rPr>
          <w:sz w:val="24"/>
          <w:szCs w:val="24"/>
          <w:lang w:val="en-GB"/>
        </w:rPr>
        <w:t xml:space="preserve"> </w:t>
      </w:r>
      <w:r w:rsidR="00FE1933" w:rsidRPr="00610DB7">
        <w:rPr>
          <w:sz w:val="24"/>
          <w:szCs w:val="24"/>
          <w:lang w:val="en-GB"/>
        </w:rPr>
        <w:t>September 30</w:t>
      </w:r>
      <w:r w:rsidR="007D335D" w:rsidRPr="00610DB7">
        <w:rPr>
          <w:sz w:val="24"/>
          <w:szCs w:val="24"/>
          <w:lang w:val="en-GB"/>
        </w:rPr>
        <w:t>, 2018</w:t>
      </w:r>
      <w:r w:rsidR="00FE1933" w:rsidRPr="00610DB7">
        <w:rPr>
          <w:sz w:val="24"/>
          <w:szCs w:val="24"/>
          <w:lang w:val="en-GB"/>
        </w:rPr>
        <w:t>.   This extension will be used t</w:t>
      </w:r>
      <w:r w:rsidR="007D335D" w:rsidRPr="00610DB7">
        <w:rPr>
          <w:sz w:val="24"/>
          <w:szCs w:val="24"/>
          <w:lang w:val="en-GB"/>
        </w:rPr>
        <w:t xml:space="preserve">o </w:t>
      </w:r>
      <w:r w:rsidR="00FE1933" w:rsidRPr="00610DB7">
        <w:rPr>
          <w:sz w:val="24"/>
          <w:szCs w:val="24"/>
          <w:lang w:val="en-GB"/>
        </w:rPr>
        <w:t xml:space="preserve">complete the reporting to bring Phase I to a successful close and to </w:t>
      </w:r>
      <w:r w:rsidR="007D335D" w:rsidRPr="00610DB7">
        <w:rPr>
          <w:sz w:val="24"/>
          <w:szCs w:val="24"/>
          <w:lang w:val="en-GB"/>
        </w:rPr>
        <w:t xml:space="preserve">cover </w:t>
      </w:r>
      <w:r w:rsidR="002852F2" w:rsidRPr="00610DB7">
        <w:rPr>
          <w:sz w:val="24"/>
          <w:szCs w:val="24"/>
          <w:lang w:val="en-GB"/>
        </w:rPr>
        <w:t xml:space="preserve">bridging activities to </w:t>
      </w:r>
      <w:r w:rsidR="00CF4B10" w:rsidRPr="00610DB7">
        <w:rPr>
          <w:sz w:val="24"/>
          <w:szCs w:val="24"/>
          <w:lang w:val="en-GB"/>
        </w:rPr>
        <w:t>ensure a smooth transiti</w:t>
      </w:r>
      <w:r w:rsidR="00B47DB8" w:rsidRPr="00610DB7">
        <w:rPr>
          <w:sz w:val="24"/>
          <w:szCs w:val="24"/>
          <w:lang w:val="en-GB"/>
        </w:rPr>
        <w:t>on between Phase I and Phase II.  Importantly it will ensure that there is no break in continuity in terms of activity and staffing</w:t>
      </w:r>
      <w:r w:rsidR="00860676" w:rsidRPr="00610DB7">
        <w:rPr>
          <w:sz w:val="24"/>
          <w:szCs w:val="24"/>
          <w:lang w:val="en-GB"/>
        </w:rPr>
        <w:t xml:space="preserve">, and will help to lay the groundwork </w:t>
      </w:r>
      <w:r w:rsidR="00636A34" w:rsidRPr="00610DB7">
        <w:rPr>
          <w:sz w:val="24"/>
          <w:szCs w:val="24"/>
          <w:lang w:val="en-GB"/>
        </w:rPr>
        <w:t xml:space="preserve">as additional resource mobilisation and longer term funding agreements </w:t>
      </w:r>
      <w:r w:rsidR="00E22C58" w:rsidRPr="00610DB7">
        <w:rPr>
          <w:sz w:val="24"/>
          <w:szCs w:val="24"/>
          <w:lang w:val="en-GB"/>
        </w:rPr>
        <w:t xml:space="preserve">for Phase II </w:t>
      </w:r>
      <w:r w:rsidR="00636A34" w:rsidRPr="00610DB7">
        <w:rPr>
          <w:sz w:val="24"/>
          <w:szCs w:val="24"/>
          <w:lang w:val="en-GB"/>
        </w:rPr>
        <w:t>are being finalized</w:t>
      </w:r>
      <w:r w:rsidR="00B47DB8" w:rsidRPr="00610DB7">
        <w:rPr>
          <w:sz w:val="24"/>
          <w:szCs w:val="24"/>
          <w:lang w:val="en-GB"/>
        </w:rPr>
        <w:t xml:space="preserve">.  The </w:t>
      </w:r>
      <w:r w:rsidR="00860676" w:rsidRPr="00610DB7">
        <w:rPr>
          <w:sz w:val="24"/>
          <w:szCs w:val="24"/>
          <w:lang w:val="en-GB"/>
        </w:rPr>
        <w:t xml:space="preserve">current </w:t>
      </w:r>
      <w:r w:rsidR="00B47DB8" w:rsidRPr="00610DB7">
        <w:rPr>
          <w:sz w:val="24"/>
          <w:szCs w:val="24"/>
          <w:lang w:val="en-GB"/>
        </w:rPr>
        <w:t xml:space="preserve">core team within the FAO Secretariat and facilitating partners will be ensured a renewal of their contracts </w:t>
      </w:r>
      <w:r w:rsidR="00860676" w:rsidRPr="00610DB7">
        <w:rPr>
          <w:sz w:val="24"/>
          <w:szCs w:val="24"/>
          <w:lang w:val="en-GB"/>
        </w:rPr>
        <w:t xml:space="preserve">for this period </w:t>
      </w:r>
      <w:r w:rsidR="00B47DB8" w:rsidRPr="00610DB7">
        <w:rPr>
          <w:sz w:val="24"/>
          <w:szCs w:val="24"/>
          <w:lang w:val="en-GB"/>
        </w:rPr>
        <w:t xml:space="preserve">and be able to focus on </w:t>
      </w:r>
      <w:r w:rsidR="00636A34" w:rsidRPr="00610DB7">
        <w:rPr>
          <w:sz w:val="24"/>
          <w:szCs w:val="24"/>
          <w:lang w:val="en-GB"/>
        </w:rPr>
        <w:t>vital</w:t>
      </w:r>
      <w:r w:rsidR="00B47DB8" w:rsidRPr="00610DB7">
        <w:rPr>
          <w:sz w:val="24"/>
          <w:szCs w:val="24"/>
          <w:lang w:val="en-GB"/>
        </w:rPr>
        <w:t xml:space="preserve"> preparatory work </w:t>
      </w:r>
      <w:r w:rsidR="00636A34" w:rsidRPr="00610DB7">
        <w:rPr>
          <w:sz w:val="24"/>
          <w:szCs w:val="24"/>
          <w:lang w:val="en-GB"/>
        </w:rPr>
        <w:t xml:space="preserve">to ensure the likelihood of greater impacts from Phase II </w:t>
      </w:r>
      <w:r w:rsidR="00B47DB8" w:rsidRPr="00610DB7">
        <w:rPr>
          <w:sz w:val="24"/>
          <w:szCs w:val="24"/>
          <w:lang w:val="en-GB"/>
        </w:rPr>
        <w:t xml:space="preserve">and </w:t>
      </w:r>
      <w:r w:rsidR="00636A34" w:rsidRPr="00610DB7">
        <w:rPr>
          <w:sz w:val="24"/>
          <w:szCs w:val="24"/>
          <w:lang w:val="en-GB"/>
        </w:rPr>
        <w:t xml:space="preserve">prepare </w:t>
      </w:r>
      <w:r w:rsidR="00860676" w:rsidRPr="00610DB7">
        <w:rPr>
          <w:sz w:val="24"/>
          <w:szCs w:val="24"/>
          <w:lang w:val="en-GB"/>
        </w:rPr>
        <w:t xml:space="preserve">for </w:t>
      </w:r>
      <w:r w:rsidR="00636A34" w:rsidRPr="00610DB7">
        <w:rPr>
          <w:sz w:val="24"/>
          <w:szCs w:val="24"/>
          <w:lang w:val="en-GB"/>
        </w:rPr>
        <w:t xml:space="preserve">the </w:t>
      </w:r>
      <w:r w:rsidR="00B47DB8" w:rsidRPr="00610DB7">
        <w:rPr>
          <w:sz w:val="24"/>
          <w:szCs w:val="24"/>
          <w:lang w:val="en-GB"/>
        </w:rPr>
        <w:t xml:space="preserve">launching process for Phase II.  </w:t>
      </w:r>
      <w:r w:rsidR="002F2344" w:rsidRPr="00610DB7">
        <w:rPr>
          <w:sz w:val="24"/>
          <w:szCs w:val="24"/>
          <w:lang w:val="en-GB"/>
        </w:rPr>
        <w:t xml:space="preserve">As has been the practice for the FFF so far official progress  reports and certified financial reports for the previous calendar year (in this case 2017)will be submitted to the donor partners by June 30, 2018 and a final </w:t>
      </w:r>
      <w:r w:rsidR="002243F2" w:rsidRPr="00610DB7">
        <w:rPr>
          <w:sz w:val="24"/>
          <w:szCs w:val="24"/>
          <w:lang w:val="en-GB"/>
        </w:rPr>
        <w:t xml:space="preserve">certified financial </w:t>
      </w:r>
      <w:r w:rsidR="002F2344" w:rsidRPr="00610DB7">
        <w:rPr>
          <w:sz w:val="24"/>
          <w:szCs w:val="24"/>
          <w:lang w:val="en-GB"/>
        </w:rPr>
        <w:t xml:space="preserve">report by March 31, 2019.  </w:t>
      </w:r>
      <w:r w:rsidR="002243F2" w:rsidRPr="00610DB7">
        <w:rPr>
          <w:sz w:val="24"/>
          <w:szCs w:val="24"/>
          <w:lang w:val="en-GB"/>
        </w:rPr>
        <w:t xml:space="preserve">A </w:t>
      </w:r>
      <w:r w:rsidR="002243F2" w:rsidRPr="00610DB7">
        <w:rPr>
          <w:bCs/>
          <w:sz w:val="24"/>
          <w:szCs w:val="24"/>
          <w:lang w:val="en-GB"/>
        </w:rPr>
        <w:t>final</w:t>
      </w:r>
      <w:r w:rsidR="002243F2" w:rsidRPr="00610DB7">
        <w:rPr>
          <w:sz w:val="24"/>
          <w:szCs w:val="24"/>
          <w:lang w:val="en-GB"/>
        </w:rPr>
        <w:t xml:space="preserve"> narrative report through September 30, 2018 and a </w:t>
      </w:r>
      <w:r w:rsidR="002243F2" w:rsidRPr="00610DB7">
        <w:rPr>
          <w:bCs/>
          <w:sz w:val="24"/>
          <w:szCs w:val="24"/>
          <w:lang w:val="en-GB"/>
        </w:rPr>
        <w:t>provisional</w:t>
      </w:r>
      <w:r w:rsidR="002243F2" w:rsidRPr="00610DB7">
        <w:rPr>
          <w:sz w:val="24"/>
          <w:szCs w:val="24"/>
          <w:lang w:val="en-GB"/>
        </w:rPr>
        <w:t xml:space="preserve"> financial statement will also be provided by end of December 2018. </w:t>
      </w:r>
    </w:p>
    <w:p w:rsidR="002243F2" w:rsidRPr="00610DB7" w:rsidRDefault="002243F2" w:rsidP="00A15C2E">
      <w:pPr>
        <w:rPr>
          <w:sz w:val="24"/>
          <w:szCs w:val="24"/>
          <w:lang w:val="en-GB"/>
        </w:rPr>
      </w:pPr>
    </w:p>
    <w:p w:rsidR="00DE2AA5" w:rsidRPr="00610DB7" w:rsidRDefault="002F2344" w:rsidP="00A15C2E">
      <w:pPr>
        <w:rPr>
          <w:sz w:val="24"/>
          <w:szCs w:val="24"/>
          <w:lang w:val="en-GB"/>
        </w:rPr>
      </w:pPr>
      <w:r w:rsidRPr="00610DB7">
        <w:rPr>
          <w:sz w:val="24"/>
          <w:szCs w:val="24"/>
          <w:lang w:val="en-GB"/>
        </w:rPr>
        <w:t>As per this amended work plan t</w:t>
      </w:r>
      <w:r w:rsidR="00B47DB8" w:rsidRPr="00610DB7">
        <w:rPr>
          <w:sz w:val="24"/>
          <w:szCs w:val="24"/>
          <w:lang w:val="en-GB"/>
        </w:rPr>
        <w:t xml:space="preserve">he team will be able </w:t>
      </w:r>
      <w:r w:rsidR="00CF4B10" w:rsidRPr="00610DB7">
        <w:rPr>
          <w:sz w:val="24"/>
          <w:szCs w:val="24"/>
          <w:lang w:val="en-GB"/>
        </w:rPr>
        <w:t>facilitate the follow</w:t>
      </w:r>
      <w:r w:rsidR="00B47DB8" w:rsidRPr="00610DB7">
        <w:rPr>
          <w:sz w:val="24"/>
          <w:szCs w:val="24"/>
          <w:lang w:val="en-GB"/>
        </w:rPr>
        <w:t>ing</w:t>
      </w:r>
      <w:r w:rsidR="00CF4B10" w:rsidRPr="00610DB7">
        <w:rPr>
          <w:sz w:val="24"/>
          <w:szCs w:val="24"/>
          <w:lang w:val="en-GB"/>
        </w:rPr>
        <w:t xml:space="preserve"> </w:t>
      </w:r>
    </w:p>
    <w:p w:rsidR="00860676" w:rsidRPr="00610DB7" w:rsidRDefault="00860676" w:rsidP="00A15C2E">
      <w:pPr>
        <w:rPr>
          <w:sz w:val="24"/>
          <w:szCs w:val="24"/>
          <w:lang w:val="en-GB"/>
        </w:rPr>
      </w:pPr>
    </w:p>
    <w:p w:rsidR="002A5541" w:rsidRPr="00610DB7" w:rsidRDefault="00A15C2E" w:rsidP="00A15C2E">
      <w:pPr>
        <w:rPr>
          <w:sz w:val="24"/>
          <w:szCs w:val="24"/>
          <w:lang w:val="en-GB"/>
        </w:rPr>
      </w:pPr>
      <w:r w:rsidRPr="00610DB7">
        <w:rPr>
          <w:sz w:val="24"/>
          <w:szCs w:val="24"/>
          <w:lang w:val="en-GB"/>
        </w:rPr>
        <w:t>1.</w:t>
      </w:r>
      <w:r w:rsidRPr="00610DB7">
        <w:rPr>
          <w:sz w:val="24"/>
          <w:szCs w:val="24"/>
          <w:lang w:val="en-GB"/>
        </w:rPr>
        <w:tab/>
      </w:r>
      <w:r w:rsidR="002A5541" w:rsidRPr="00610DB7">
        <w:rPr>
          <w:sz w:val="24"/>
          <w:szCs w:val="24"/>
          <w:lang w:val="en-GB"/>
        </w:rPr>
        <w:t xml:space="preserve">Finalizing </w:t>
      </w:r>
      <w:r w:rsidR="00860676" w:rsidRPr="00610DB7">
        <w:rPr>
          <w:sz w:val="24"/>
          <w:szCs w:val="24"/>
          <w:lang w:val="en-GB"/>
        </w:rPr>
        <w:t xml:space="preserve">reporting and lessons learned documents to </w:t>
      </w:r>
      <w:r w:rsidR="002F2344" w:rsidRPr="00610DB7">
        <w:rPr>
          <w:sz w:val="24"/>
          <w:szCs w:val="24"/>
          <w:lang w:val="en-GB"/>
        </w:rPr>
        <w:t>capture</w:t>
      </w:r>
      <w:r w:rsidR="00860676" w:rsidRPr="00610DB7">
        <w:rPr>
          <w:sz w:val="24"/>
          <w:szCs w:val="24"/>
          <w:lang w:val="en-GB"/>
        </w:rPr>
        <w:t xml:space="preserve"> the learning and achievements of </w:t>
      </w:r>
      <w:r w:rsidR="00995CA3" w:rsidRPr="00610DB7">
        <w:rPr>
          <w:sz w:val="24"/>
          <w:szCs w:val="24"/>
          <w:lang w:val="en-GB"/>
        </w:rPr>
        <w:t>the Forest and Farm Facility through December 31, 2017</w:t>
      </w:r>
      <w:r w:rsidR="00860676" w:rsidRPr="00610DB7">
        <w:rPr>
          <w:sz w:val="24"/>
          <w:szCs w:val="24"/>
          <w:lang w:val="en-GB"/>
        </w:rPr>
        <w:t xml:space="preserve">.  The </w:t>
      </w:r>
      <w:r w:rsidR="0011061D" w:rsidRPr="00610DB7">
        <w:rPr>
          <w:sz w:val="24"/>
          <w:szCs w:val="24"/>
          <w:lang w:val="en-GB"/>
        </w:rPr>
        <w:t>“</w:t>
      </w:r>
      <w:r w:rsidR="002F2344" w:rsidRPr="00610DB7">
        <w:rPr>
          <w:sz w:val="24"/>
          <w:szCs w:val="24"/>
          <w:lang w:val="en-GB"/>
        </w:rPr>
        <w:t>draft narrative report” for activities through December 2017</w:t>
      </w:r>
      <w:r w:rsidR="0011061D" w:rsidRPr="00610DB7">
        <w:rPr>
          <w:sz w:val="24"/>
          <w:szCs w:val="24"/>
          <w:lang w:val="en-GB"/>
        </w:rPr>
        <w:t xml:space="preserve"> </w:t>
      </w:r>
      <w:r w:rsidR="00860676" w:rsidRPr="00610DB7">
        <w:rPr>
          <w:sz w:val="24"/>
          <w:szCs w:val="24"/>
          <w:lang w:val="en-GB"/>
        </w:rPr>
        <w:t xml:space="preserve">will be submitted to a Steering Committee meeting and the Donor support Group in late February, 2018. </w:t>
      </w:r>
    </w:p>
    <w:p w:rsidR="00A15C2E" w:rsidRPr="00610DB7" w:rsidRDefault="002A5541" w:rsidP="00A15C2E">
      <w:pPr>
        <w:rPr>
          <w:sz w:val="24"/>
          <w:szCs w:val="24"/>
          <w:lang w:val="en-GB"/>
        </w:rPr>
      </w:pPr>
      <w:r w:rsidRPr="00610DB7">
        <w:rPr>
          <w:sz w:val="24"/>
          <w:szCs w:val="24"/>
          <w:lang w:val="en-GB"/>
        </w:rPr>
        <w:t xml:space="preserve">2. </w:t>
      </w:r>
      <w:r w:rsidR="00860676" w:rsidRPr="00610DB7">
        <w:rPr>
          <w:sz w:val="24"/>
          <w:szCs w:val="24"/>
          <w:lang w:val="en-GB"/>
        </w:rPr>
        <w:t xml:space="preserve"> </w:t>
      </w:r>
      <w:r w:rsidR="00860676" w:rsidRPr="00610DB7">
        <w:rPr>
          <w:sz w:val="24"/>
          <w:szCs w:val="24"/>
          <w:lang w:val="en-GB"/>
        </w:rPr>
        <w:tab/>
      </w:r>
      <w:r w:rsidR="00CF4B10" w:rsidRPr="00610DB7">
        <w:rPr>
          <w:sz w:val="24"/>
          <w:szCs w:val="24"/>
          <w:lang w:val="en-GB"/>
        </w:rPr>
        <w:t xml:space="preserve">Oversight and management of the </w:t>
      </w:r>
      <w:r w:rsidR="00A15C2E" w:rsidRPr="00610DB7">
        <w:rPr>
          <w:sz w:val="24"/>
          <w:szCs w:val="24"/>
          <w:lang w:val="en-GB"/>
        </w:rPr>
        <w:t>calls for expressions of interest, selection of potential partner countries, feasibility as</w:t>
      </w:r>
      <w:r w:rsidR="00CF4B10" w:rsidRPr="00610DB7">
        <w:rPr>
          <w:sz w:val="24"/>
          <w:szCs w:val="24"/>
          <w:lang w:val="en-GB"/>
        </w:rPr>
        <w:t>sessments, identification of likely</w:t>
      </w:r>
      <w:r w:rsidR="00A15C2E" w:rsidRPr="00610DB7">
        <w:rPr>
          <w:sz w:val="24"/>
          <w:szCs w:val="24"/>
          <w:lang w:val="en-GB"/>
        </w:rPr>
        <w:t xml:space="preserve"> </w:t>
      </w:r>
      <w:r w:rsidR="00CF4B10" w:rsidRPr="00610DB7">
        <w:rPr>
          <w:sz w:val="24"/>
          <w:szCs w:val="24"/>
          <w:lang w:val="en-GB"/>
        </w:rPr>
        <w:t xml:space="preserve">FFPO and government agency </w:t>
      </w:r>
      <w:r w:rsidR="00A15C2E" w:rsidRPr="00610DB7">
        <w:rPr>
          <w:sz w:val="24"/>
          <w:szCs w:val="24"/>
          <w:lang w:val="en-GB"/>
        </w:rPr>
        <w:t xml:space="preserve">partners, </w:t>
      </w:r>
      <w:r w:rsidR="00860676" w:rsidRPr="00610DB7">
        <w:rPr>
          <w:sz w:val="24"/>
          <w:szCs w:val="24"/>
          <w:lang w:val="en-GB"/>
        </w:rPr>
        <w:t xml:space="preserve">and </w:t>
      </w:r>
      <w:r w:rsidR="00A15C2E" w:rsidRPr="00610DB7">
        <w:rPr>
          <w:sz w:val="24"/>
          <w:szCs w:val="24"/>
          <w:lang w:val="en-GB"/>
        </w:rPr>
        <w:t>continue</w:t>
      </w:r>
      <w:r w:rsidR="00CF4B10" w:rsidRPr="00610DB7">
        <w:rPr>
          <w:sz w:val="24"/>
          <w:szCs w:val="24"/>
          <w:lang w:val="en-GB"/>
        </w:rPr>
        <w:t>d resource mobilization.</w:t>
      </w:r>
    </w:p>
    <w:p w:rsidR="00A15C2E" w:rsidRPr="00610DB7" w:rsidRDefault="00A15C2E" w:rsidP="00A15C2E">
      <w:pPr>
        <w:rPr>
          <w:sz w:val="24"/>
          <w:szCs w:val="24"/>
          <w:lang w:val="en-GB"/>
        </w:rPr>
      </w:pPr>
      <w:r w:rsidRPr="00610DB7">
        <w:rPr>
          <w:sz w:val="24"/>
          <w:szCs w:val="24"/>
          <w:lang w:val="en-GB"/>
        </w:rPr>
        <w:t>2.</w:t>
      </w:r>
      <w:r w:rsidRPr="00610DB7">
        <w:rPr>
          <w:sz w:val="24"/>
          <w:szCs w:val="24"/>
          <w:lang w:val="en-GB"/>
        </w:rPr>
        <w:tab/>
        <w:t>Refinement of M &amp; L and strategic work themes (gender equality, youth engagement, value chains and business incubation, guaran</w:t>
      </w:r>
      <w:r w:rsidR="00F549EF" w:rsidRPr="00610DB7">
        <w:rPr>
          <w:sz w:val="24"/>
          <w:szCs w:val="24"/>
          <w:lang w:val="en-GB"/>
        </w:rPr>
        <w:t xml:space="preserve">tee schemes) </w:t>
      </w:r>
      <w:r w:rsidRPr="00610DB7">
        <w:rPr>
          <w:sz w:val="24"/>
          <w:szCs w:val="24"/>
          <w:lang w:val="en-GB"/>
        </w:rPr>
        <w:t>for Phase II</w:t>
      </w:r>
    </w:p>
    <w:p w:rsidR="00A15C2E" w:rsidRPr="00610DB7" w:rsidRDefault="00A15C2E" w:rsidP="00A15C2E">
      <w:pPr>
        <w:rPr>
          <w:sz w:val="24"/>
          <w:szCs w:val="24"/>
          <w:lang w:val="en-GB"/>
        </w:rPr>
      </w:pPr>
      <w:r w:rsidRPr="00610DB7">
        <w:rPr>
          <w:sz w:val="24"/>
          <w:szCs w:val="24"/>
          <w:lang w:val="en-GB"/>
        </w:rPr>
        <w:t>3.</w:t>
      </w:r>
      <w:r w:rsidRPr="00610DB7">
        <w:rPr>
          <w:sz w:val="24"/>
          <w:szCs w:val="24"/>
          <w:lang w:val="en-GB"/>
        </w:rPr>
        <w:tab/>
        <w:t>Feasibility missions, scoping studies and capacity building assessments through multi-stakeholder processes in selected countries</w:t>
      </w:r>
    </w:p>
    <w:p w:rsidR="009474D3" w:rsidRPr="00610DB7" w:rsidRDefault="009474D3" w:rsidP="009474D3">
      <w:pPr>
        <w:rPr>
          <w:sz w:val="24"/>
          <w:szCs w:val="24"/>
          <w:lang w:val="en-GB"/>
        </w:rPr>
      </w:pPr>
    </w:p>
    <w:p w:rsidR="00CF4B10" w:rsidRPr="00610DB7" w:rsidRDefault="00A15C2E" w:rsidP="00A15C2E">
      <w:pPr>
        <w:rPr>
          <w:sz w:val="24"/>
          <w:szCs w:val="24"/>
          <w:lang w:val="en-GB"/>
        </w:rPr>
      </w:pPr>
      <w:r w:rsidRPr="00610DB7">
        <w:rPr>
          <w:sz w:val="24"/>
          <w:szCs w:val="24"/>
          <w:lang w:val="en-GB"/>
        </w:rPr>
        <w:t>Background</w:t>
      </w:r>
      <w:r w:rsidR="00CF4B10" w:rsidRPr="00610DB7">
        <w:rPr>
          <w:sz w:val="24"/>
          <w:szCs w:val="24"/>
          <w:lang w:val="en-GB"/>
        </w:rPr>
        <w:t>:</w:t>
      </w:r>
    </w:p>
    <w:p w:rsidR="00CF4B10" w:rsidRPr="00610DB7" w:rsidRDefault="00CF4B10" w:rsidP="00A15C2E">
      <w:pPr>
        <w:rPr>
          <w:sz w:val="24"/>
          <w:szCs w:val="24"/>
          <w:lang w:val="en-GB"/>
        </w:rPr>
      </w:pPr>
    </w:p>
    <w:p w:rsidR="009474D3" w:rsidRPr="00610DB7" w:rsidRDefault="009474D3" w:rsidP="009474D3">
      <w:pPr>
        <w:rPr>
          <w:sz w:val="24"/>
          <w:szCs w:val="24"/>
          <w:lang w:val="en-GB"/>
        </w:rPr>
      </w:pPr>
      <w:r w:rsidRPr="00610DB7">
        <w:rPr>
          <w:sz w:val="24"/>
          <w:szCs w:val="24"/>
          <w:lang w:val="en-GB"/>
        </w:rPr>
        <w:t xml:space="preserve">The Forest and Farm Facility is a partnership of four global organizations the Food and Agriculture Organization of the United Nations (FAO), International Institute for Environment and Development (IIED, International Union for Conservation of Nature (IUCN) and </w:t>
      </w:r>
      <w:r w:rsidR="00F549EF" w:rsidRPr="00610DB7">
        <w:rPr>
          <w:sz w:val="24"/>
          <w:szCs w:val="24"/>
          <w:lang w:val="en-GB"/>
        </w:rPr>
        <w:t>Agricord</w:t>
      </w:r>
      <w:r w:rsidRPr="00610DB7">
        <w:rPr>
          <w:sz w:val="24"/>
          <w:szCs w:val="24"/>
          <w:lang w:val="en-GB"/>
        </w:rPr>
        <w:t xml:space="preserve">.    Since 2013, the FFF has been empowering forest and farm producers and their organizations, the “missing links” that are needed to put the SDGs and NDCs into practice. These producers are the primary producers of food, forest products and ecosystem services. Together they number 1.5 billion people globally, comprise 90% of the world’s farms and, in Asia and sub-Saharan Africa, supply 80% of food – covering a significant proportion of the small scale private sector. Their numerical scale, geographical spread, natural resource use and overlapping incidence with rural poverty give them unique importance. Their strength in numbers is particularly potent in their member based FFPOs which play a central institutional role in their own development pathways out of poverty.   </w:t>
      </w:r>
    </w:p>
    <w:p w:rsidR="009474D3" w:rsidRPr="00610DB7" w:rsidRDefault="009474D3" w:rsidP="009474D3">
      <w:pPr>
        <w:rPr>
          <w:sz w:val="24"/>
          <w:szCs w:val="24"/>
          <w:lang w:val="en-GB"/>
        </w:rPr>
      </w:pPr>
    </w:p>
    <w:p w:rsidR="009474D3" w:rsidRPr="00610DB7" w:rsidRDefault="009474D3" w:rsidP="009474D3">
      <w:pPr>
        <w:rPr>
          <w:sz w:val="24"/>
          <w:szCs w:val="24"/>
          <w:lang w:val="en-GB"/>
        </w:rPr>
      </w:pPr>
      <w:r w:rsidRPr="00610DB7">
        <w:rPr>
          <w:sz w:val="24"/>
          <w:szCs w:val="24"/>
          <w:lang w:val="en-GB"/>
        </w:rPr>
        <w:t xml:space="preserve">Within this context, major achievements of Phase I can be attributed to the FFF’s unique and direct support to FFPOs. FFF’s proven cost-effective, demand driven delivery mechanism reached more than 400 FFPOs in 10 partner countries over the last four years with regional and global programmes engaging an additional 30 organizations. Independent reviewers found the Phase I approach to be “highly efficient in terms of inputs relative to results” and “highly relevant…filling the gaps in rural development cooperation” with the firm recommendation that “a second phase of FFF should be considered in order to consolidate and expand its achievements”. </w:t>
      </w:r>
    </w:p>
    <w:p w:rsidR="009474D3" w:rsidRPr="00610DB7" w:rsidRDefault="009474D3" w:rsidP="009474D3">
      <w:pPr>
        <w:rPr>
          <w:sz w:val="24"/>
          <w:szCs w:val="24"/>
          <w:lang w:val="en-GB"/>
        </w:rPr>
      </w:pPr>
    </w:p>
    <w:p w:rsidR="00021117" w:rsidRPr="00610DB7" w:rsidRDefault="00795A67" w:rsidP="00795A67">
      <w:pPr>
        <w:rPr>
          <w:sz w:val="24"/>
          <w:szCs w:val="24"/>
          <w:lang w:val="en-GB"/>
        </w:rPr>
      </w:pPr>
      <w:r w:rsidRPr="00610DB7">
        <w:rPr>
          <w:sz w:val="24"/>
          <w:szCs w:val="24"/>
          <w:lang w:val="en-GB"/>
        </w:rPr>
        <w:t xml:space="preserve">Resources are needed </w:t>
      </w:r>
      <w:r w:rsidR="00021117" w:rsidRPr="00610DB7">
        <w:rPr>
          <w:sz w:val="24"/>
          <w:szCs w:val="24"/>
          <w:lang w:val="en-GB"/>
        </w:rPr>
        <w:t xml:space="preserve">to finalize the reporting and lessons learned from the FFF experience to date and </w:t>
      </w:r>
      <w:r w:rsidRPr="00610DB7">
        <w:rPr>
          <w:sz w:val="24"/>
          <w:szCs w:val="24"/>
          <w:lang w:val="en-GB"/>
        </w:rPr>
        <w:t xml:space="preserve">to </w:t>
      </w:r>
      <w:r w:rsidR="00021117" w:rsidRPr="00610DB7">
        <w:rPr>
          <w:sz w:val="24"/>
          <w:szCs w:val="24"/>
          <w:lang w:val="en-GB"/>
        </w:rPr>
        <w:t xml:space="preserve">manage a </w:t>
      </w:r>
      <w:r w:rsidRPr="00610DB7">
        <w:rPr>
          <w:sz w:val="24"/>
          <w:szCs w:val="24"/>
          <w:lang w:val="en-GB"/>
        </w:rPr>
        <w:t>transition</w:t>
      </w:r>
      <w:r w:rsidR="00F82100" w:rsidRPr="00610DB7">
        <w:rPr>
          <w:sz w:val="24"/>
          <w:szCs w:val="24"/>
          <w:lang w:val="en-GB"/>
        </w:rPr>
        <w:t xml:space="preserve"> from Phase I</w:t>
      </w:r>
      <w:r w:rsidRPr="00610DB7">
        <w:rPr>
          <w:sz w:val="24"/>
          <w:szCs w:val="24"/>
          <w:lang w:val="en-GB"/>
        </w:rPr>
        <w:t xml:space="preserve"> into Phase II.  </w:t>
      </w:r>
      <w:r w:rsidR="00F82100" w:rsidRPr="00610DB7">
        <w:rPr>
          <w:sz w:val="24"/>
          <w:szCs w:val="24"/>
          <w:lang w:val="en-GB"/>
        </w:rPr>
        <w:t xml:space="preserve">This important bridging funding would ensure </w:t>
      </w:r>
      <w:r w:rsidR="00021117" w:rsidRPr="00610DB7">
        <w:rPr>
          <w:sz w:val="24"/>
          <w:szCs w:val="24"/>
          <w:lang w:val="en-GB"/>
        </w:rPr>
        <w:t xml:space="preserve">the high quality reporting from Phase I and </w:t>
      </w:r>
      <w:r w:rsidR="00F82100" w:rsidRPr="00610DB7">
        <w:rPr>
          <w:sz w:val="24"/>
          <w:szCs w:val="24"/>
          <w:lang w:val="en-GB"/>
        </w:rPr>
        <w:t xml:space="preserve">a smooth transition between Phase I and Phase II.  </w:t>
      </w:r>
      <w:r w:rsidR="00636A34" w:rsidRPr="00610DB7">
        <w:rPr>
          <w:sz w:val="24"/>
          <w:szCs w:val="24"/>
          <w:lang w:val="en-GB"/>
        </w:rPr>
        <w:t xml:space="preserve">Importantly it will ensure that there is no break in continuity in terms of activity and staffing as additional resource mobilisation and longer term funding agreements are being finalized.  The </w:t>
      </w:r>
      <w:r w:rsidR="00021117" w:rsidRPr="00610DB7">
        <w:rPr>
          <w:sz w:val="24"/>
          <w:szCs w:val="24"/>
          <w:lang w:val="en-GB"/>
        </w:rPr>
        <w:t xml:space="preserve">current </w:t>
      </w:r>
      <w:r w:rsidR="00636A34" w:rsidRPr="00610DB7">
        <w:rPr>
          <w:sz w:val="24"/>
          <w:szCs w:val="24"/>
          <w:lang w:val="en-GB"/>
        </w:rPr>
        <w:t xml:space="preserve">core team within the FAO Secretariat </w:t>
      </w:r>
      <w:r w:rsidR="00021117" w:rsidRPr="00610DB7">
        <w:rPr>
          <w:sz w:val="24"/>
          <w:szCs w:val="24"/>
          <w:lang w:val="en-GB"/>
        </w:rPr>
        <w:t>(consisting of the Manager, Two Forestry Officers, the communication team of one half time Forestry Officer for outreach and information sharing, and two General Services staff</w:t>
      </w:r>
      <w:r w:rsidR="00FF6056" w:rsidRPr="00610DB7">
        <w:rPr>
          <w:sz w:val="24"/>
          <w:szCs w:val="24"/>
          <w:lang w:val="en-GB"/>
        </w:rPr>
        <w:t>) will</w:t>
      </w:r>
      <w:r w:rsidR="00636A34" w:rsidRPr="00610DB7">
        <w:rPr>
          <w:sz w:val="24"/>
          <w:szCs w:val="24"/>
          <w:lang w:val="en-GB"/>
        </w:rPr>
        <w:t xml:space="preserve"> be ensured a renewal of their contracts and be able to focus on vital preparatory work to ensure the likelihood of greater impacts from Phase II and prepare the launching process for Phase II.</w:t>
      </w:r>
      <w:r w:rsidR="00F82100" w:rsidRPr="00610DB7">
        <w:rPr>
          <w:sz w:val="24"/>
          <w:szCs w:val="24"/>
          <w:lang w:val="en-GB"/>
        </w:rPr>
        <w:t xml:space="preserve">  </w:t>
      </w:r>
      <w:r w:rsidR="00021117" w:rsidRPr="00610DB7">
        <w:rPr>
          <w:sz w:val="24"/>
          <w:szCs w:val="24"/>
          <w:lang w:val="en-GB"/>
        </w:rPr>
        <w:t xml:space="preserve">In addition the core management team members within the IIED (2 Forest Research Officers) and in IUCN (one Regional and global coordination officer) and a part time liaison position within </w:t>
      </w:r>
      <w:r w:rsidR="00FF6056" w:rsidRPr="00610DB7">
        <w:rPr>
          <w:sz w:val="24"/>
          <w:szCs w:val="24"/>
          <w:lang w:val="en-GB"/>
        </w:rPr>
        <w:t>AgriCord will</w:t>
      </w:r>
      <w:r w:rsidR="00021117" w:rsidRPr="00610DB7">
        <w:rPr>
          <w:sz w:val="24"/>
          <w:szCs w:val="24"/>
          <w:lang w:val="en-GB"/>
        </w:rPr>
        <w:t xml:space="preserve"> be supported through contracts to guide a set of preparatory scoping studies.  </w:t>
      </w:r>
    </w:p>
    <w:p w:rsidR="00021117" w:rsidRPr="00610DB7" w:rsidRDefault="00021117" w:rsidP="00795A67">
      <w:pPr>
        <w:rPr>
          <w:sz w:val="24"/>
          <w:szCs w:val="24"/>
          <w:lang w:val="en-GB"/>
        </w:rPr>
      </w:pPr>
    </w:p>
    <w:p w:rsidR="00795A67" w:rsidRPr="00610DB7" w:rsidRDefault="00021117" w:rsidP="00795A67">
      <w:pPr>
        <w:rPr>
          <w:sz w:val="24"/>
          <w:szCs w:val="24"/>
          <w:lang w:val="en-GB"/>
        </w:rPr>
      </w:pPr>
      <w:r w:rsidRPr="00610DB7">
        <w:rPr>
          <w:sz w:val="24"/>
          <w:szCs w:val="24"/>
          <w:lang w:val="en-GB"/>
        </w:rPr>
        <w:t>Specifically the extension would allow a</w:t>
      </w:r>
      <w:r w:rsidR="00795A67" w:rsidRPr="00610DB7">
        <w:rPr>
          <w:sz w:val="24"/>
          <w:szCs w:val="24"/>
          <w:lang w:val="en-GB"/>
        </w:rPr>
        <w:t xml:space="preserve"> set of activities listed below</w:t>
      </w:r>
      <w:r w:rsidRPr="00610DB7">
        <w:rPr>
          <w:sz w:val="24"/>
          <w:szCs w:val="24"/>
          <w:lang w:val="en-GB"/>
        </w:rPr>
        <w:t xml:space="preserve"> to be accomplished</w:t>
      </w:r>
      <w:r w:rsidR="00795A67" w:rsidRPr="00610DB7">
        <w:rPr>
          <w:sz w:val="24"/>
          <w:szCs w:val="24"/>
          <w:lang w:val="en-GB"/>
        </w:rPr>
        <w:t xml:space="preserve">: </w:t>
      </w:r>
    </w:p>
    <w:p w:rsidR="00A15C2E" w:rsidRPr="00610DB7" w:rsidRDefault="00A15C2E">
      <w:pPr>
        <w:rPr>
          <w:sz w:val="24"/>
          <w:szCs w:val="24"/>
        </w:rPr>
      </w:pPr>
    </w:p>
    <w:p w:rsidR="00A15C2E" w:rsidRPr="00610DB7" w:rsidRDefault="00795A67">
      <w:pPr>
        <w:rPr>
          <w:sz w:val="24"/>
          <w:szCs w:val="24"/>
        </w:rPr>
      </w:pPr>
      <w:r w:rsidRPr="00610DB7">
        <w:rPr>
          <w:sz w:val="24"/>
          <w:szCs w:val="24"/>
        </w:rPr>
        <w:t>Activities</w:t>
      </w:r>
      <w:r w:rsidR="00CF4B10" w:rsidRPr="00610DB7">
        <w:rPr>
          <w:sz w:val="24"/>
          <w:szCs w:val="24"/>
        </w:rPr>
        <w:t xml:space="preserve">: </w:t>
      </w:r>
    </w:p>
    <w:p w:rsidR="00795A67" w:rsidRPr="00610DB7" w:rsidRDefault="00795A67">
      <w:pPr>
        <w:rPr>
          <w:sz w:val="24"/>
          <w:szCs w:val="24"/>
        </w:rPr>
      </w:pPr>
    </w:p>
    <w:p w:rsidR="00610360" w:rsidRPr="00610DB7" w:rsidRDefault="00021117" w:rsidP="00355E74">
      <w:pPr>
        <w:pStyle w:val="ListParagraph"/>
        <w:numPr>
          <w:ilvl w:val="0"/>
          <w:numId w:val="2"/>
        </w:numPr>
        <w:rPr>
          <w:sz w:val="24"/>
          <w:szCs w:val="24"/>
          <w:lang w:val="en-GB"/>
        </w:rPr>
      </w:pPr>
      <w:r w:rsidRPr="00610DB7">
        <w:rPr>
          <w:sz w:val="24"/>
          <w:szCs w:val="24"/>
          <w:lang w:val="en-GB"/>
        </w:rPr>
        <w:t>Rep</w:t>
      </w:r>
      <w:r w:rsidR="00610360" w:rsidRPr="00610DB7">
        <w:rPr>
          <w:sz w:val="24"/>
          <w:szCs w:val="24"/>
          <w:lang w:val="en-GB"/>
        </w:rPr>
        <w:t>ort writing and lessons learned</w:t>
      </w:r>
      <w:r w:rsidRPr="00610DB7">
        <w:rPr>
          <w:sz w:val="24"/>
          <w:szCs w:val="24"/>
          <w:lang w:val="en-GB"/>
        </w:rPr>
        <w:t xml:space="preserve"> </w:t>
      </w:r>
    </w:p>
    <w:p w:rsidR="009579BB" w:rsidRPr="00610DB7" w:rsidRDefault="009579BB" w:rsidP="009579BB">
      <w:pPr>
        <w:rPr>
          <w:sz w:val="24"/>
          <w:szCs w:val="24"/>
          <w:lang w:val="en-GB"/>
        </w:rPr>
      </w:pPr>
      <w:r w:rsidRPr="00610DB7">
        <w:rPr>
          <w:sz w:val="24"/>
          <w:szCs w:val="24"/>
          <w:lang w:val="en-GB"/>
        </w:rPr>
        <w:t xml:space="preserve">The </w:t>
      </w:r>
      <w:r w:rsidR="00590B34" w:rsidRPr="00610DB7">
        <w:rPr>
          <w:sz w:val="24"/>
          <w:szCs w:val="24"/>
          <w:lang w:val="en-GB"/>
        </w:rPr>
        <w:t>“draft r</w:t>
      </w:r>
      <w:r w:rsidRPr="00610DB7">
        <w:rPr>
          <w:sz w:val="24"/>
          <w:szCs w:val="24"/>
          <w:lang w:val="en-GB"/>
        </w:rPr>
        <w:t>eport</w:t>
      </w:r>
      <w:r w:rsidR="00590B34" w:rsidRPr="00610DB7">
        <w:rPr>
          <w:sz w:val="24"/>
          <w:szCs w:val="24"/>
          <w:lang w:val="en-GB"/>
        </w:rPr>
        <w:t>”</w:t>
      </w:r>
      <w:r w:rsidRPr="00610DB7">
        <w:rPr>
          <w:sz w:val="24"/>
          <w:szCs w:val="24"/>
          <w:lang w:val="en-GB"/>
        </w:rPr>
        <w:t xml:space="preserve"> </w:t>
      </w:r>
      <w:r w:rsidR="00590B34" w:rsidRPr="00610DB7">
        <w:rPr>
          <w:sz w:val="24"/>
          <w:szCs w:val="24"/>
          <w:lang w:val="en-GB"/>
        </w:rPr>
        <w:t>on the Forest and Farm Facility through December 2017</w:t>
      </w:r>
      <w:r w:rsidRPr="00610DB7">
        <w:rPr>
          <w:sz w:val="24"/>
          <w:szCs w:val="24"/>
          <w:lang w:val="en-GB"/>
        </w:rPr>
        <w:t xml:space="preserve"> including narrative and provisional financial statements will be completed by January 31 and presented to the Donor Support Group and Steering Committee on Feb. 27-March 1.  </w:t>
      </w:r>
    </w:p>
    <w:p w:rsidR="00610360" w:rsidRPr="00610DB7" w:rsidRDefault="009579BB" w:rsidP="009579BB">
      <w:pPr>
        <w:pStyle w:val="ListParagraph"/>
        <w:numPr>
          <w:ilvl w:val="1"/>
          <w:numId w:val="2"/>
        </w:numPr>
        <w:rPr>
          <w:sz w:val="24"/>
          <w:szCs w:val="24"/>
          <w:lang w:val="en-GB"/>
        </w:rPr>
      </w:pPr>
      <w:r w:rsidRPr="00610DB7">
        <w:rPr>
          <w:sz w:val="24"/>
          <w:szCs w:val="24"/>
          <w:lang w:val="en-GB"/>
        </w:rPr>
        <w:t>Knowledge</w:t>
      </w:r>
      <w:r w:rsidR="00021117" w:rsidRPr="00610DB7">
        <w:rPr>
          <w:sz w:val="24"/>
          <w:szCs w:val="24"/>
          <w:lang w:val="en-GB"/>
        </w:rPr>
        <w:t xml:space="preserve"> papers </w:t>
      </w:r>
      <w:r w:rsidR="00A41A9F" w:rsidRPr="00610DB7">
        <w:rPr>
          <w:sz w:val="24"/>
          <w:szCs w:val="24"/>
          <w:lang w:val="en-GB"/>
        </w:rPr>
        <w:t xml:space="preserve">and communications products </w:t>
      </w:r>
      <w:r w:rsidR="00021117" w:rsidRPr="00610DB7">
        <w:rPr>
          <w:sz w:val="24"/>
          <w:szCs w:val="24"/>
          <w:lang w:val="en-GB"/>
        </w:rPr>
        <w:t xml:space="preserve">summarizing the work of FFF </w:t>
      </w:r>
      <w:r w:rsidRPr="00610DB7">
        <w:rPr>
          <w:sz w:val="24"/>
          <w:szCs w:val="24"/>
          <w:lang w:val="en-GB"/>
        </w:rPr>
        <w:t xml:space="preserve">to date </w:t>
      </w:r>
      <w:r w:rsidR="00610360" w:rsidRPr="00610DB7">
        <w:rPr>
          <w:sz w:val="24"/>
          <w:szCs w:val="24"/>
          <w:lang w:val="en-GB"/>
        </w:rPr>
        <w:t>would be completed and shared.</w:t>
      </w:r>
    </w:p>
    <w:p w:rsidR="00021117" w:rsidRPr="00610DB7" w:rsidRDefault="007E75AE" w:rsidP="00610360">
      <w:pPr>
        <w:pStyle w:val="ListParagraph"/>
        <w:numPr>
          <w:ilvl w:val="1"/>
          <w:numId w:val="2"/>
        </w:numPr>
        <w:rPr>
          <w:sz w:val="24"/>
          <w:szCs w:val="24"/>
          <w:lang w:val="en-GB"/>
        </w:rPr>
      </w:pPr>
      <w:r w:rsidRPr="00610DB7">
        <w:rPr>
          <w:sz w:val="24"/>
          <w:szCs w:val="24"/>
          <w:lang w:val="en-GB"/>
        </w:rPr>
        <w:t>A major learning event will be held before the end of Apri</w:t>
      </w:r>
      <w:r w:rsidR="00DD2F8A" w:rsidRPr="00610DB7">
        <w:rPr>
          <w:sz w:val="24"/>
          <w:szCs w:val="24"/>
          <w:lang w:val="en-GB"/>
        </w:rPr>
        <w:t xml:space="preserve">l 2018 as part of a larger effort by FAO to look at its work with producer organizations and discuss how to go to scale as an input into the transition to phase II. </w:t>
      </w:r>
    </w:p>
    <w:p w:rsidR="007E75AE" w:rsidRPr="00610DB7" w:rsidRDefault="00355E74" w:rsidP="007E75AE">
      <w:pPr>
        <w:pStyle w:val="ListParagraph"/>
        <w:numPr>
          <w:ilvl w:val="0"/>
          <w:numId w:val="2"/>
        </w:numPr>
        <w:rPr>
          <w:sz w:val="24"/>
          <w:szCs w:val="24"/>
          <w:lang w:val="en-GB"/>
        </w:rPr>
      </w:pPr>
      <w:r w:rsidRPr="00610DB7">
        <w:rPr>
          <w:sz w:val="24"/>
          <w:szCs w:val="24"/>
          <w:lang w:val="en-GB"/>
        </w:rPr>
        <w:t>Country select</w:t>
      </w:r>
      <w:r w:rsidR="007C3359" w:rsidRPr="00610DB7">
        <w:rPr>
          <w:sz w:val="24"/>
          <w:szCs w:val="24"/>
          <w:lang w:val="en-GB"/>
        </w:rPr>
        <w:t>ion and operational preparation</w:t>
      </w:r>
      <w:r w:rsidRPr="00610DB7">
        <w:rPr>
          <w:sz w:val="24"/>
          <w:szCs w:val="24"/>
          <w:lang w:val="en-GB"/>
        </w:rPr>
        <w:t xml:space="preserve"> </w:t>
      </w:r>
    </w:p>
    <w:p w:rsidR="007E75AE" w:rsidRPr="00610DB7" w:rsidRDefault="00FF6056" w:rsidP="007E75AE">
      <w:pPr>
        <w:pStyle w:val="ListParagraph"/>
        <w:ind w:left="360" w:firstLine="349"/>
        <w:rPr>
          <w:sz w:val="24"/>
          <w:szCs w:val="24"/>
          <w:lang w:val="en-GB"/>
        </w:rPr>
      </w:pPr>
      <w:r w:rsidRPr="00610DB7">
        <w:rPr>
          <w:sz w:val="24"/>
          <w:szCs w:val="24"/>
          <w:lang w:val="en-GB"/>
        </w:rPr>
        <w:t>2.1 Oversight</w:t>
      </w:r>
      <w:r w:rsidR="00795A67" w:rsidRPr="00610DB7">
        <w:rPr>
          <w:sz w:val="24"/>
          <w:szCs w:val="24"/>
          <w:lang w:val="en-GB"/>
        </w:rPr>
        <w:t xml:space="preserve"> and management of the cal</w:t>
      </w:r>
      <w:r w:rsidR="0071128D" w:rsidRPr="00610DB7">
        <w:rPr>
          <w:sz w:val="24"/>
          <w:szCs w:val="24"/>
          <w:lang w:val="en-GB"/>
        </w:rPr>
        <w:t>ls for expressions of interest.</w:t>
      </w:r>
    </w:p>
    <w:p w:rsidR="007E75AE" w:rsidRPr="00610DB7" w:rsidRDefault="00FF6056" w:rsidP="007E75AE">
      <w:pPr>
        <w:pStyle w:val="ListParagraph"/>
        <w:ind w:left="360" w:firstLine="349"/>
        <w:rPr>
          <w:sz w:val="24"/>
          <w:szCs w:val="24"/>
          <w:lang w:val="en-GB"/>
        </w:rPr>
      </w:pPr>
      <w:r w:rsidRPr="00610DB7">
        <w:rPr>
          <w:sz w:val="24"/>
          <w:szCs w:val="24"/>
          <w:lang w:val="en-GB"/>
        </w:rPr>
        <w:t>2.2 Facilitation</w:t>
      </w:r>
      <w:r w:rsidR="00355E74" w:rsidRPr="00610DB7">
        <w:rPr>
          <w:sz w:val="24"/>
          <w:szCs w:val="24"/>
          <w:lang w:val="en-GB"/>
        </w:rPr>
        <w:t xml:space="preserve"> of a selection panel and, with them, the </w:t>
      </w:r>
      <w:r w:rsidR="00795A67" w:rsidRPr="00610DB7">
        <w:rPr>
          <w:sz w:val="24"/>
          <w:szCs w:val="24"/>
          <w:lang w:val="en-GB"/>
        </w:rPr>
        <w:t xml:space="preserve">selection </w:t>
      </w:r>
      <w:r w:rsidR="0071128D" w:rsidRPr="00610DB7">
        <w:rPr>
          <w:sz w:val="24"/>
          <w:szCs w:val="24"/>
          <w:lang w:val="en-GB"/>
        </w:rPr>
        <w:t>of potential partner countries.</w:t>
      </w:r>
    </w:p>
    <w:p w:rsidR="007E75AE" w:rsidRPr="00610DB7" w:rsidRDefault="007E75AE" w:rsidP="007E75AE">
      <w:pPr>
        <w:pStyle w:val="ListParagraph"/>
        <w:ind w:left="360" w:firstLine="349"/>
        <w:rPr>
          <w:sz w:val="24"/>
          <w:szCs w:val="24"/>
          <w:lang w:val="en-GB"/>
        </w:rPr>
      </w:pPr>
      <w:r w:rsidRPr="00610DB7">
        <w:rPr>
          <w:sz w:val="24"/>
          <w:szCs w:val="24"/>
          <w:lang w:val="en-GB"/>
        </w:rPr>
        <w:t xml:space="preserve">2.3 </w:t>
      </w:r>
      <w:r w:rsidR="0071128D" w:rsidRPr="00610DB7">
        <w:rPr>
          <w:sz w:val="24"/>
          <w:szCs w:val="24"/>
          <w:lang w:val="en-GB"/>
        </w:rPr>
        <w:t>F</w:t>
      </w:r>
      <w:r w:rsidR="00795A67" w:rsidRPr="00610DB7">
        <w:rPr>
          <w:sz w:val="24"/>
          <w:szCs w:val="24"/>
          <w:lang w:val="en-GB"/>
        </w:rPr>
        <w:t>easibility assessments</w:t>
      </w:r>
      <w:r w:rsidR="00FA4BDF" w:rsidRPr="00610DB7">
        <w:rPr>
          <w:sz w:val="24"/>
          <w:szCs w:val="24"/>
          <w:lang w:val="en-GB"/>
        </w:rPr>
        <w:t xml:space="preserve"> (</w:t>
      </w:r>
      <w:r w:rsidR="00610360" w:rsidRPr="00610DB7">
        <w:rPr>
          <w:sz w:val="24"/>
          <w:szCs w:val="24"/>
          <w:lang w:val="en-GB"/>
        </w:rPr>
        <w:t xml:space="preserve">in selected </w:t>
      </w:r>
      <w:r w:rsidR="00FA4BDF" w:rsidRPr="00610DB7">
        <w:rPr>
          <w:sz w:val="24"/>
          <w:szCs w:val="24"/>
          <w:lang w:val="en-GB"/>
        </w:rPr>
        <w:t>countries)</w:t>
      </w:r>
      <w:r w:rsidR="00795A67" w:rsidRPr="00610DB7">
        <w:rPr>
          <w:sz w:val="24"/>
          <w:szCs w:val="24"/>
          <w:lang w:val="en-GB"/>
        </w:rPr>
        <w:t xml:space="preserve">, </w:t>
      </w:r>
      <w:r w:rsidR="00610360" w:rsidRPr="00610DB7">
        <w:rPr>
          <w:sz w:val="24"/>
          <w:szCs w:val="24"/>
          <w:lang w:val="en-GB"/>
        </w:rPr>
        <w:t xml:space="preserve">to follow up on expressions of interest if needed, </w:t>
      </w:r>
      <w:r w:rsidR="00795A67" w:rsidRPr="00610DB7">
        <w:rPr>
          <w:sz w:val="24"/>
          <w:szCs w:val="24"/>
          <w:lang w:val="en-GB"/>
        </w:rPr>
        <w:t xml:space="preserve">identification of likely FFPO </w:t>
      </w:r>
      <w:r w:rsidR="0071128D" w:rsidRPr="00610DB7">
        <w:rPr>
          <w:sz w:val="24"/>
          <w:szCs w:val="24"/>
          <w:lang w:val="en-GB"/>
        </w:rPr>
        <w:t>and government agency partners.</w:t>
      </w:r>
      <w:r w:rsidR="00355E74" w:rsidRPr="00610DB7">
        <w:rPr>
          <w:sz w:val="24"/>
          <w:szCs w:val="24"/>
          <w:lang w:val="en-GB"/>
        </w:rPr>
        <w:t xml:space="preserve"> </w:t>
      </w:r>
    </w:p>
    <w:p w:rsidR="007E75AE" w:rsidRPr="00610DB7" w:rsidRDefault="00FF6056" w:rsidP="007E75AE">
      <w:pPr>
        <w:pStyle w:val="ListParagraph"/>
        <w:ind w:left="360" w:firstLine="349"/>
        <w:rPr>
          <w:sz w:val="24"/>
          <w:szCs w:val="24"/>
          <w:lang w:val="en-GB"/>
        </w:rPr>
      </w:pPr>
      <w:r w:rsidRPr="00610DB7">
        <w:rPr>
          <w:sz w:val="24"/>
          <w:szCs w:val="24"/>
          <w:lang w:val="en-GB"/>
        </w:rPr>
        <w:t>2.4 Facilitate</w:t>
      </w:r>
      <w:r w:rsidR="0057634D" w:rsidRPr="00610DB7">
        <w:rPr>
          <w:sz w:val="24"/>
          <w:szCs w:val="24"/>
          <w:lang w:val="en-GB"/>
        </w:rPr>
        <w:t xml:space="preserve"> Steering Committee and donor support groups meetings to guide Phase II work plans.</w:t>
      </w:r>
    </w:p>
    <w:p w:rsidR="007E75AE" w:rsidRPr="00610DB7" w:rsidRDefault="00FF6056" w:rsidP="007E75AE">
      <w:pPr>
        <w:pStyle w:val="ListParagraph"/>
        <w:ind w:left="360" w:firstLine="349"/>
        <w:rPr>
          <w:sz w:val="24"/>
          <w:szCs w:val="24"/>
          <w:lang w:val="en-GB"/>
        </w:rPr>
      </w:pPr>
      <w:r w:rsidRPr="00610DB7">
        <w:rPr>
          <w:sz w:val="24"/>
          <w:szCs w:val="24"/>
          <w:lang w:val="en-GB"/>
        </w:rPr>
        <w:t>2.5 Continued</w:t>
      </w:r>
      <w:r w:rsidR="00795A67" w:rsidRPr="00610DB7">
        <w:rPr>
          <w:sz w:val="24"/>
          <w:szCs w:val="24"/>
          <w:lang w:val="en-GB"/>
        </w:rPr>
        <w:t xml:space="preserve"> resource mobilization</w:t>
      </w:r>
      <w:r w:rsidR="0057634D" w:rsidRPr="00610DB7">
        <w:rPr>
          <w:sz w:val="24"/>
          <w:szCs w:val="24"/>
          <w:lang w:val="en-GB"/>
        </w:rPr>
        <w:t xml:space="preserve"> according to the Resource</w:t>
      </w:r>
      <w:r w:rsidR="0071128D" w:rsidRPr="00610DB7">
        <w:rPr>
          <w:sz w:val="24"/>
          <w:szCs w:val="24"/>
          <w:lang w:val="en-GB"/>
        </w:rPr>
        <w:t xml:space="preserve"> Mobilization Strategy and Plan.</w:t>
      </w:r>
    </w:p>
    <w:p w:rsidR="00795A67" w:rsidRPr="00610DB7" w:rsidRDefault="00FF6056" w:rsidP="007E75AE">
      <w:pPr>
        <w:pStyle w:val="ListParagraph"/>
        <w:ind w:left="360" w:firstLine="349"/>
        <w:rPr>
          <w:sz w:val="24"/>
          <w:szCs w:val="24"/>
          <w:lang w:val="en-GB"/>
        </w:rPr>
      </w:pPr>
      <w:r w:rsidRPr="00610DB7">
        <w:rPr>
          <w:sz w:val="24"/>
          <w:szCs w:val="24"/>
          <w:lang w:val="en-GB"/>
        </w:rPr>
        <w:t>2.6 Develop</w:t>
      </w:r>
      <w:r w:rsidR="00355E74" w:rsidRPr="00610DB7">
        <w:rPr>
          <w:sz w:val="24"/>
          <w:szCs w:val="24"/>
          <w:lang w:val="en-GB"/>
        </w:rPr>
        <w:t xml:space="preserve"> strategic linkages for scaling up impacts at country, regional and global levels</w:t>
      </w:r>
      <w:r w:rsidR="0071128D" w:rsidRPr="00610DB7">
        <w:rPr>
          <w:sz w:val="24"/>
          <w:szCs w:val="24"/>
          <w:lang w:val="en-GB"/>
        </w:rPr>
        <w:t>.</w:t>
      </w:r>
    </w:p>
    <w:p w:rsidR="00355E74" w:rsidRPr="00610DB7" w:rsidRDefault="00795A67" w:rsidP="00355E74">
      <w:pPr>
        <w:pStyle w:val="ListParagraph"/>
        <w:numPr>
          <w:ilvl w:val="0"/>
          <w:numId w:val="2"/>
        </w:numPr>
        <w:rPr>
          <w:sz w:val="24"/>
          <w:szCs w:val="24"/>
          <w:lang w:val="en-GB"/>
        </w:rPr>
      </w:pPr>
      <w:r w:rsidRPr="00610DB7">
        <w:rPr>
          <w:sz w:val="24"/>
          <w:szCs w:val="24"/>
          <w:lang w:val="en-GB"/>
        </w:rPr>
        <w:t xml:space="preserve">Refinement of M &amp; L and strategic </w:t>
      </w:r>
      <w:r w:rsidR="007E75AE" w:rsidRPr="00610DB7">
        <w:rPr>
          <w:sz w:val="24"/>
          <w:szCs w:val="24"/>
          <w:lang w:val="en-GB"/>
        </w:rPr>
        <w:t xml:space="preserve">development of </w:t>
      </w:r>
      <w:r w:rsidRPr="00610DB7">
        <w:rPr>
          <w:sz w:val="24"/>
          <w:szCs w:val="24"/>
          <w:lang w:val="en-GB"/>
        </w:rPr>
        <w:t>work themes</w:t>
      </w:r>
      <w:r w:rsidR="00355E74" w:rsidRPr="00610DB7">
        <w:rPr>
          <w:sz w:val="24"/>
          <w:szCs w:val="24"/>
          <w:lang w:val="en-GB"/>
        </w:rPr>
        <w:t xml:space="preserve"> for Phase II</w:t>
      </w:r>
    </w:p>
    <w:p w:rsidR="00021117" w:rsidRPr="00610DB7" w:rsidRDefault="00021117" w:rsidP="00FB58B1">
      <w:pPr>
        <w:pStyle w:val="ListParagraph"/>
        <w:numPr>
          <w:ilvl w:val="1"/>
          <w:numId w:val="2"/>
        </w:numPr>
        <w:rPr>
          <w:sz w:val="24"/>
          <w:szCs w:val="24"/>
          <w:lang w:val="en-GB"/>
        </w:rPr>
      </w:pPr>
      <w:r w:rsidRPr="00610DB7">
        <w:rPr>
          <w:sz w:val="24"/>
          <w:szCs w:val="24"/>
          <w:lang w:val="en-GB"/>
        </w:rPr>
        <w:t>An updated M &amp; L framework and information management system put in place.</w:t>
      </w:r>
    </w:p>
    <w:p w:rsidR="00795A67" w:rsidRPr="00610DB7" w:rsidRDefault="007E75AE" w:rsidP="00FB58B1">
      <w:pPr>
        <w:pStyle w:val="ListParagraph"/>
        <w:numPr>
          <w:ilvl w:val="1"/>
          <w:numId w:val="2"/>
        </w:numPr>
        <w:rPr>
          <w:sz w:val="24"/>
          <w:szCs w:val="24"/>
          <w:lang w:val="en-GB"/>
        </w:rPr>
      </w:pPr>
      <w:r w:rsidRPr="00610DB7">
        <w:rPr>
          <w:sz w:val="24"/>
          <w:szCs w:val="24"/>
          <w:lang w:val="en-GB"/>
        </w:rPr>
        <w:t xml:space="preserve">At least 4 </w:t>
      </w:r>
      <w:r w:rsidR="00FA4BDF" w:rsidRPr="00610DB7">
        <w:rPr>
          <w:sz w:val="24"/>
          <w:szCs w:val="24"/>
          <w:lang w:val="en-GB"/>
        </w:rPr>
        <w:t xml:space="preserve">studies selected from the following: </w:t>
      </w:r>
      <w:r w:rsidR="00795A67" w:rsidRPr="00610DB7">
        <w:rPr>
          <w:sz w:val="24"/>
          <w:szCs w:val="24"/>
          <w:lang w:val="en-GB"/>
        </w:rPr>
        <w:t xml:space="preserve">gender equality, youth engagement, </w:t>
      </w:r>
      <w:r w:rsidR="00355E74" w:rsidRPr="00610DB7">
        <w:rPr>
          <w:sz w:val="24"/>
          <w:szCs w:val="24"/>
          <w:lang w:val="en-GB"/>
        </w:rPr>
        <w:t>Indigenous Peoples involvement</w:t>
      </w:r>
      <w:r w:rsidR="00BE575A" w:rsidRPr="00610DB7">
        <w:rPr>
          <w:sz w:val="24"/>
          <w:szCs w:val="24"/>
          <w:lang w:val="en-GB"/>
        </w:rPr>
        <w:t xml:space="preserve"> and territorial management plans</w:t>
      </w:r>
      <w:r w:rsidR="00355E74" w:rsidRPr="00610DB7">
        <w:rPr>
          <w:sz w:val="24"/>
          <w:szCs w:val="24"/>
          <w:lang w:val="en-GB"/>
        </w:rPr>
        <w:t xml:space="preserve">, </w:t>
      </w:r>
      <w:r w:rsidR="00795A67" w:rsidRPr="00610DB7">
        <w:rPr>
          <w:sz w:val="24"/>
          <w:szCs w:val="24"/>
          <w:lang w:val="en-GB"/>
        </w:rPr>
        <w:t>value chains and busines</w:t>
      </w:r>
      <w:r w:rsidR="00355E74" w:rsidRPr="00610DB7">
        <w:rPr>
          <w:sz w:val="24"/>
          <w:szCs w:val="24"/>
          <w:lang w:val="en-GB"/>
        </w:rPr>
        <w:t>s incubation, guarantee schemes</w:t>
      </w:r>
      <w:r w:rsidR="00FA4BDF" w:rsidRPr="00610DB7">
        <w:rPr>
          <w:sz w:val="24"/>
          <w:szCs w:val="24"/>
          <w:lang w:val="en-GB"/>
        </w:rPr>
        <w:t>, inventory and assessment of regional and global FFPOs.</w:t>
      </w:r>
    </w:p>
    <w:p w:rsidR="00355E74" w:rsidRPr="00610DB7" w:rsidRDefault="00355E74" w:rsidP="00355E74">
      <w:pPr>
        <w:pStyle w:val="ListParagraph"/>
        <w:ind w:left="1440"/>
        <w:rPr>
          <w:sz w:val="24"/>
          <w:szCs w:val="24"/>
          <w:lang w:val="en-GB"/>
        </w:rPr>
      </w:pPr>
    </w:p>
    <w:p w:rsidR="00795A67" w:rsidRPr="00610DB7" w:rsidRDefault="00795A67" w:rsidP="00D20972">
      <w:pPr>
        <w:pStyle w:val="ListParagraph"/>
        <w:numPr>
          <w:ilvl w:val="0"/>
          <w:numId w:val="2"/>
        </w:numPr>
        <w:rPr>
          <w:sz w:val="24"/>
          <w:szCs w:val="24"/>
          <w:lang w:val="en-GB"/>
        </w:rPr>
      </w:pPr>
      <w:r w:rsidRPr="00610DB7">
        <w:rPr>
          <w:sz w:val="24"/>
          <w:szCs w:val="24"/>
          <w:lang w:val="en-GB"/>
        </w:rPr>
        <w:t>Feasibility missions</w:t>
      </w:r>
      <w:r w:rsidR="00FA4BDF" w:rsidRPr="00610DB7">
        <w:rPr>
          <w:sz w:val="24"/>
          <w:szCs w:val="24"/>
          <w:lang w:val="en-GB"/>
        </w:rPr>
        <w:t xml:space="preserve"> (in up to 6 countries)</w:t>
      </w:r>
      <w:r w:rsidRPr="00610DB7">
        <w:rPr>
          <w:sz w:val="24"/>
          <w:szCs w:val="24"/>
          <w:lang w:val="en-GB"/>
        </w:rPr>
        <w:t xml:space="preserve">, scoping and capacity </w:t>
      </w:r>
      <w:r w:rsidR="00BE575A" w:rsidRPr="00610DB7">
        <w:rPr>
          <w:sz w:val="24"/>
          <w:szCs w:val="24"/>
          <w:lang w:val="en-GB"/>
        </w:rPr>
        <w:t xml:space="preserve">development </w:t>
      </w:r>
      <w:r w:rsidRPr="00610DB7">
        <w:rPr>
          <w:sz w:val="24"/>
          <w:szCs w:val="24"/>
          <w:lang w:val="en-GB"/>
        </w:rPr>
        <w:t>assessments through multi-stakeholder processes in selected countries</w:t>
      </w:r>
    </w:p>
    <w:p w:rsidR="007E75AE" w:rsidRPr="00610DB7" w:rsidRDefault="007E75AE">
      <w:pPr>
        <w:rPr>
          <w:sz w:val="24"/>
          <w:szCs w:val="24"/>
        </w:rPr>
      </w:pPr>
    </w:p>
    <w:p w:rsidR="00795A67" w:rsidRPr="00610DB7" w:rsidRDefault="00F549EF">
      <w:pPr>
        <w:rPr>
          <w:sz w:val="24"/>
          <w:szCs w:val="24"/>
        </w:rPr>
      </w:pPr>
      <w:r w:rsidRPr="00610DB7">
        <w:rPr>
          <w:sz w:val="24"/>
          <w:szCs w:val="24"/>
        </w:rPr>
        <w:t>Deliverables:</w:t>
      </w:r>
      <w:r w:rsidR="00FA4BDF" w:rsidRPr="00610DB7">
        <w:rPr>
          <w:sz w:val="24"/>
          <w:szCs w:val="24"/>
        </w:rPr>
        <w:t xml:space="preserve"> </w:t>
      </w:r>
    </w:p>
    <w:p w:rsidR="00463B67" w:rsidRPr="00610DB7" w:rsidRDefault="00463B67">
      <w:pPr>
        <w:rPr>
          <w:sz w:val="24"/>
          <w:szCs w:val="24"/>
        </w:rPr>
      </w:pPr>
    </w:p>
    <w:p w:rsidR="007E75AE" w:rsidRPr="00610DB7" w:rsidRDefault="007E75AE" w:rsidP="00463B67">
      <w:pPr>
        <w:pStyle w:val="ListParagraph"/>
        <w:numPr>
          <w:ilvl w:val="0"/>
          <w:numId w:val="26"/>
        </w:numPr>
        <w:rPr>
          <w:sz w:val="24"/>
          <w:szCs w:val="24"/>
        </w:rPr>
      </w:pPr>
      <w:r w:rsidRPr="00610DB7">
        <w:rPr>
          <w:sz w:val="24"/>
          <w:szCs w:val="24"/>
        </w:rPr>
        <w:t xml:space="preserve">Finalized Lessons Learned materials </w:t>
      </w:r>
      <w:r w:rsidR="00590B34" w:rsidRPr="00610DB7">
        <w:rPr>
          <w:sz w:val="24"/>
          <w:szCs w:val="24"/>
        </w:rPr>
        <w:t>through December 2017</w:t>
      </w:r>
      <w:r w:rsidRPr="00610DB7">
        <w:rPr>
          <w:sz w:val="24"/>
          <w:szCs w:val="24"/>
        </w:rPr>
        <w:t xml:space="preserve">. </w:t>
      </w:r>
    </w:p>
    <w:p w:rsidR="00463B67" w:rsidRPr="00610DB7" w:rsidRDefault="00463B67" w:rsidP="00463B67">
      <w:pPr>
        <w:pStyle w:val="ListParagraph"/>
        <w:numPr>
          <w:ilvl w:val="0"/>
          <w:numId w:val="26"/>
        </w:numPr>
        <w:rPr>
          <w:sz w:val="24"/>
          <w:szCs w:val="24"/>
        </w:rPr>
      </w:pPr>
      <w:r w:rsidRPr="00610DB7">
        <w:rPr>
          <w:sz w:val="24"/>
          <w:szCs w:val="24"/>
          <w:lang w:val="en-GB"/>
        </w:rPr>
        <w:t>A major learning event will be held before the end of April 2018 as part of a larger effort by FAO to look at its work with producer organizations and discuss how to go to scale as an input into the transition to phase II.</w:t>
      </w:r>
    </w:p>
    <w:p w:rsidR="00FB58B1" w:rsidRPr="00610DB7" w:rsidRDefault="00FB58B1" w:rsidP="00463B67">
      <w:pPr>
        <w:pStyle w:val="ListParagraph"/>
        <w:numPr>
          <w:ilvl w:val="0"/>
          <w:numId w:val="26"/>
        </w:numPr>
        <w:rPr>
          <w:sz w:val="24"/>
          <w:szCs w:val="24"/>
        </w:rPr>
      </w:pPr>
      <w:r w:rsidRPr="00610DB7">
        <w:rPr>
          <w:sz w:val="24"/>
          <w:szCs w:val="24"/>
        </w:rPr>
        <w:t>A</w:t>
      </w:r>
      <w:r w:rsidR="00FA4BDF" w:rsidRPr="00610DB7">
        <w:rPr>
          <w:sz w:val="24"/>
          <w:szCs w:val="24"/>
        </w:rPr>
        <w:t xml:space="preserve"> comprehensive analysis with selection and ranking of candidate partner countries</w:t>
      </w:r>
    </w:p>
    <w:p w:rsidR="00FB58B1" w:rsidRPr="00610DB7" w:rsidRDefault="00FB58B1" w:rsidP="00463B67">
      <w:pPr>
        <w:pStyle w:val="ListParagraph"/>
        <w:numPr>
          <w:ilvl w:val="0"/>
          <w:numId w:val="26"/>
        </w:numPr>
        <w:rPr>
          <w:sz w:val="24"/>
          <w:szCs w:val="24"/>
        </w:rPr>
      </w:pPr>
      <w:r w:rsidRPr="00610DB7">
        <w:rPr>
          <w:sz w:val="24"/>
          <w:szCs w:val="24"/>
        </w:rPr>
        <w:t>F</w:t>
      </w:r>
      <w:r w:rsidR="00FA4BDF" w:rsidRPr="00610DB7">
        <w:rPr>
          <w:sz w:val="24"/>
          <w:szCs w:val="24"/>
        </w:rPr>
        <w:t>easibility assessments completed in 6 top ranked candidate countries</w:t>
      </w:r>
    </w:p>
    <w:p w:rsidR="00FB58B1" w:rsidRPr="00610DB7" w:rsidRDefault="00FB58B1" w:rsidP="00463B67">
      <w:pPr>
        <w:pStyle w:val="ListParagraph"/>
        <w:numPr>
          <w:ilvl w:val="0"/>
          <w:numId w:val="26"/>
        </w:numPr>
        <w:rPr>
          <w:sz w:val="24"/>
          <w:szCs w:val="24"/>
        </w:rPr>
      </w:pPr>
      <w:r w:rsidRPr="00610DB7">
        <w:rPr>
          <w:sz w:val="24"/>
          <w:szCs w:val="24"/>
        </w:rPr>
        <w:t>W</w:t>
      </w:r>
      <w:r w:rsidR="00FA4BDF" w:rsidRPr="00610DB7">
        <w:rPr>
          <w:sz w:val="24"/>
          <w:szCs w:val="24"/>
        </w:rPr>
        <w:t xml:space="preserve">ork plan elements clearly identified and preparation plans in place for work plan completion. </w:t>
      </w:r>
    </w:p>
    <w:p w:rsidR="00FB58B1" w:rsidRPr="00610DB7" w:rsidRDefault="007C3359" w:rsidP="00463B67">
      <w:pPr>
        <w:pStyle w:val="ListParagraph"/>
        <w:numPr>
          <w:ilvl w:val="0"/>
          <w:numId w:val="26"/>
        </w:numPr>
        <w:rPr>
          <w:sz w:val="24"/>
          <w:szCs w:val="24"/>
        </w:rPr>
      </w:pPr>
      <w:r w:rsidRPr="00610DB7">
        <w:rPr>
          <w:sz w:val="24"/>
          <w:szCs w:val="24"/>
        </w:rPr>
        <w:t xml:space="preserve">February Steering Committee and donor support group meetings to provide guidance </w:t>
      </w:r>
    </w:p>
    <w:p w:rsidR="00390DAE" w:rsidRPr="00610DB7" w:rsidRDefault="00390DAE" w:rsidP="00463B67">
      <w:pPr>
        <w:pStyle w:val="ListParagraph"/>
        <w:numPr>
          <w:ilvl w:val="0"/>
          <w:numId w:val="26"/>
        </w:numPr>
        <w:rPr>
          <w:sz w:val="24"/>
          <w:szCs w:val="24"/>
          <w:lang w:val="en-GB"/>
        </w:rPr>
      </w:pPr>
      <w:r w:rsidRPr="00610DB7">
        <w:rPr>
          <w:sz w:val="24"/>
          <w:szCs w:val="24"/>
          <w:lang w:val="en-GB"/>
        </w:rPr>
        <w:t xml:space="preserve">Resource mobilization strategy updated and </w:t>
      </w:r>
    </w:p>
    <w:p w:rsidR="00390DAE" w:rsidRPr="00610DB7" w:rsidRDefault="00390DAE" w:rsidP="00463B67">
      <w:pPr>
        <w:pStyle w:val="ListParagraph"/>
        <w:numPr>
          <w:ilvl w:val="0"/>
          <w:numId w:val="26"/>
        </w:numPr>
        <w:rPr>
          <w:sz w:val="24"/>
          <w:szCs w:val="24"/>
        </w:rPr>
      </w:pPr>
      <w:r w:rsidRPr="00610DB7">
        <w:rPr>
          <w:sz w:val="24"/>
          <w:szCs w:val="24"/>
          <w:lang w:val="en-GB"/>
        </w:rPr>
        <w:t>Additional funding obtained for Phase II</w:t>
      </w:r>
    </w:p>
    <w:p w:rsidR="00390DAE" w:rsidRPr="00610DB7" w:rsidRDefault="00390DAE" w:rsidP="00463B67">
      <w:pPr>
        <w:pStyle w:val="ListParagraph"/>
        <w:numPr>
          <w:ilvl w:val="0"/>
          <w:numId w:val="26"/>
        </w:numPr>
        <w:rPr>
          <w:sz w:val="24"/>
          <w:szCs w:val="24"/>
        </w:rPr>
      </w:pPr>
      <w:r w:rsidRPr="00610DB7">
        <w:rPr>
          <w:sz w:val="24"/>
          <w:szCs w:val="24"/>
          <w:lang w:val="en-GB"/>
        </w:rPr>
        <w:t>New partnerships formed and agreements to enhance scaling up activities</w:t>
      </w:r>
    </w:p>
    <w:p w:rsidR="00390DAE" w:rsidRPr="00610DB7" w:rsidRDefault="00390DAE" w:rsidP="00463B67">
      <w:pPr>
        <w:pStyle w:val="ListParagraph"/>
        <w:numPr>
          <w:ilvl w:val="0"/>
          <w:numId w:val="26"/>
        </w:numPr>
        <w:rPr>
          <w:sz w:val="24"/>
          <w:szCs w:val="24"/>
        </w:rPr>
      </w:pPr>
      <w:r w:rsidRPr="00610DB7">
        <w:rPr>
          <w:sz w:val="24"/>
          <w:szCs w:val="24"/>
          <w:lang w:val="en-GB"/>
        </w:rPr>
        <w:t>New M &amp; L framework and system in place for Phase II</w:t>
      </w:r>
    </w:p>
    <w:p w:rsidR="00390DAE" w:rsidRPr="00610DB7" w:rsidRDefault="00FB58B1" w:rsidP="00463B67">
      <w:pPr>
        <w:pStyle w:val="ListParagraph"/>
        <w:numPr>
          <w:ilvl w:val="0"/>
          <w:numId w:val="26"/>
        </w:numPr>
        <w:rPr>
          <w:rFonts w:eastAsia="Times New Roman"/>
          <w:sz w:val="24"/>
          <w:szCs w:val="24"/>
        </w:rPr>
      </w:pPr>
      <w:r w:rsidRPr="00610DB7">
        <w:rPr>
          <w:sz w:val="24"/>
          <w:szCs w:val="24"/>
        </w:rPr>
        <w:t>A</w:t>
      </w:r>
      <w:r w:rsidR="00FA4BDF" w:rsidRPr="00610DB7">
        <w:rPr>
          <w:sz w:val="24"/>
          <w:szCs w:val="24"/>
        </w:rPr>
        <w:t xml:space="preserve">t least two </w:t>
      </w:r>
      <w:r w:rsidR="00390DAE" w:rsidRPr="00610DB7">
        <w:rPr>
          <w:sz w:val="24"/>
          <w:szCs w:val="24"/>
        </w:rPr>
        <w:t xml:space="preserve">thematic </w:t>
      </w:r>
      <w:r w:rsidR="00FA4BDF" w:rsidRPr="00610DB7">
        <w:rPr>
          <w:sz w:val="24"/>
          <w:szCs w:val="24"/>
        </w:rPr>
        <w:t>studies to guide effective implementation of key strategic themes in Phase II.</w:t>
      </w:r>
    </w:p>
    <w:p w:rsidR="00234C83" w:rsidRPr="00610DB7" w:rsidRDefault="00390DAE" w:rsidP="00463B67">
      <w:pPr>
        <w:pStyle w:val="ListParagraph"/>
        <w:numPr>
          <w:ilvl w:val="0"/>
          <w:numId w:val="26"/>
        </w:numPr>
        <w:rPr>
          <w:rFonts w:eastAsia="Times New Roman"/>
          <w:sz w:val="24"/>
          <w:szCs w:val="24"/>
        </w:rPr>
      </w:pPr>
      <w:r w:rsidRPr="00610DB7">
        <w:rPr>
          <w:sz w:val="24"/>
          <w:szCs w:val="24"/>
        </w:rPr>
        <w:t>I</w:t>
      </w:r>
      <w:r w:rsidRPr="00610DB7">
        <w:rPr>
          <w:sz w:val="24"/>
          <w:szCs w:val="24"/>
          <w:lang w:val="en-GB"/>
        </w:rPr>
        <w:t>n country scoping studies and capacity development assessments of potential pa</w:t>
      </w:r>
      <w:r w:rsidR="00234C83" w:rsidRPr="00610DB7">
        <w:rPr>
          <w:sz w:val="24"/>
          <w:szCs w:val="24"/>
          <w:lang w:val="en-GB"/>
        </w:rPr>
        <w:t>rtner FFPOs in up to 6 countries</w:t>
      </w:r>
    </w:p>
    <w:p w:rsidR="00234C83" w:rsidRPr="00610DB7" w:rsidRDefault="00234C83" w:rsidP="00234C83">
      <w:pPr>
        <w:pStyle w:val="ListParagraph"/>
        <w:ind w:left="1080"/>
        <w:rPr>
          <w:rFonts w:eastAsia="Times New Roman"/>
          <w:sz w:val="24"/>
          <w:szCs w:val="24"/>
        </w:rPr>
        <w:sectPr w:rsidR="00234C83" w:rsidRPr="00610DB7" w:rsidSect="00B36E37">
          <w:pgSz w:w="12240" w:h="15840"/>
          <w:pgMar w:top="1440" w:right="1440" w:bottom="1440" w:left="1440" w:header="720" w:footer="720" w:gutter="0"/>
          <w:cols w:space="720"/>
          <w:docGrid w:linePitch="360"/>
        </w:sectPr>
      </w:pPr>
      <w:r w:rsidRPr="00610DB7">
        <w:rPr>
          <w:sz w:val="24"/>
          <w:szCs w:val="24"/>
          <w:lang w:val="en-GB"/>
        </w:rPr>
        <w:t>.</w:t>
      </w:r>
    </w:p>
    <w:p w:rsidR="00390DAE" w:rsidRPr="00610DB7" w:rsidRDefault="00390DAE" w:rsidP="00B36E37">
      <w:pPr>
        <w:rPr>
          <w:rFonts w:eastAsia="Times New Roman"/>
          <w:sz w:val="24"/>
          <w:szCs w:val="24"/>
        </w:rPr>
      </w:pPr>
    </w:p>
    <w:p w:rsidR="00BE575A" w:rsidRPr="00610DB7" w:rsidRDefault="00BE575A" w:rsidP="00A15C2E">
      <w:pPr>
        <w:rPr>
          <w:sz w:val="24"/>
          <w:szCs w:val="24"/>
        </w:rPr>
      </w:pPr>
      <w:r w:rsidRPr="00610DB7">
        <w:rPr>
          <w:b/>
          <w:sz w:val="24"/>
          <w:szCs w:val="24"/>
        </w:rPr>
        <w:t>Work Plan</w:t>
      </w:r>
      <w:r w:rsidRPr="00610DB7">
        <w:rPr>
          <w:sz w:val="24"/>
          <w:szCs w:val="24"/>
        </w:rPr>
        <w:t xml:space="preserve">:  </w:t>
      </w:r>
    </w:p>
    <w:tbl>
      <w:tblPr>
        <w:tblW w:w="11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661"/>
        <w:gridCol w:w="630"/>
        <w:gridCol w:w="720"/>
        <w:gridCol w:w="5420"/>
      </w:tblGrid>
      <w:tr w:rsidR="00610DB7" w:rsidRPr="00610DB7" w:rsidTr="00610360">
        <w:tc>
          <w:tcPr>
            <w:tcW w:w="3941" w:type="dxa"/>
            <w:vMerge w:val="restart"/>
          </w:tcPr>
          <w:p w:rsidR="00610360" w:rsidRPr="00610DB7" w:rsidRDefault="00610360" w:rsidP="00DD2F8A">
            <w:pPr>
              <w:jc w:val="center"/>
              <w:rPr>
                <w:b/>
                <w:sz w:val="24"/>
                <w:szCs w:val="24"/>
                <w:lang w:val="en-GB"/>
              </w:rPr>
            </w:pPr>
            <w:r w:rsidRPr="00610DB7">
              <w:rPr>
                <w:b/>
                <w:sz w:val="24"/>
                <w:szCs w:val="24"/>
              </w:rPr>
              <w:t>Work Plan</w:t>
            </w:r>
            <w:r w:rsidRPr="00610DB7">
              <w:rPr>
                <w:sz w:val="24"/>
                <w:szCs w:val="24"/>
              </w:rPr>
              <w:t xml:space="preserve">: </w:t>
            </w:r>
            <w:r w:rsidRPr="00610DB7">
              <w:rPr>
                <w:b/>
                <w:sz w:val="24"/>
                <w:szCs w:val="24"/>
                <w:lang w:val="en-GB"/>
              </w:rPr>
              <w:t>Activities</w:t>
            </w:r>
          </w:p>
        </w:tc>
        <w:tc>
          <w:tcPr>
            <w:tcW w:w="2011" w:type="dxa"/>
            <w:gridSpan w:val="3"/>
          </w:tcPr>
          <w:p w:rsidR="00610360" w:rsidRPr="00610DB7" w:rsidRDefault="00610360" w:rsidP="00BD53DB">
            <w:pPr>
              <w:jc w:val="center"/>
              <w:rPr>
                <w:b/>
                <w:sz w:val="24"/>
                <w:szCs w:val="24"/>
                <w:lang w:val="en-GB"/>
              </w:rPr>
            </w:pPr>
            <w:r w:rsidRPr="00610DB7">
              <w:rPr>
                <w:b/>
                <w:sz w:val="24"/>
                <w:szCs w:val="24"/>
                <w:lang w:val="en-GB"/>
              </w:rPr>
              <w:t>2018</w:t>
            </w:r>
          </w:p>
        </w:tc>
        <w:tc>
          <w:tcPr>
            <w:tcW w:w="5420" w:type="dxa"/>
          </w:tcPr>
          <w:p w:rsidR="00610360" w:rsidRPr="00610DB7" w:rsidRDefault="00610360" w:rsidP="00BD53DB">
            <w:pPr>
              <w:jc w:val="center"/>
              <w:rPr>
                <w:b/>
                <w:sz w:val="24"/>
                <w:szCs w:val="24"/>
                <w:lang w:val="en-GB"/>
              </w:rPr>
            </w:pPr>
            <w:r w:rsidRPr="00610DB7">
              <w:rPr>
                <w:b/>
                <w:sz w:val="24"/>
                <w:szCs w:val="24"/>
                <w:lang w:val="en-GB"/>
              </w:rPr>
              <w:t>Deliverables</w:t>
            </w:r>
          </w:p>
        </w:tc>
      </w:tr>
      <w:tr w:rsidR="00610DB7" w:rsidRPr="00610DB7" w:rsidTr="00610360">
        <w:tc>
          <w:tcPr>
            <w:tcW w:w="3941" w:type="dxa"/>
            <w:vMerge/>
            <w:tcBorders>
              <w:bottom w:val="single" w:sz="4" w:space="0" w:color="auto"/>
            </w:tcBorders>
          </w:tcPr>
          <w:p w:rsidR="00610360" w:rsidRPr="00610DB7" w:rsidRDefault="00610360" w:rsidP="00BD53DB">
            <w:pPr>
              <w:rPr>
                <w:sz w:val="24"/>
                <w:szCs w:val="24"/>
                <w:lang w:val="en-GB"/>
              </w:rPr>
            </w:pP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Q1</w:t>
            </w: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Q2</w:t>
            </w:r>
          </w:p>
        </w:tc>
        <w:tc>
          <w:tcPr>
            <w:tcW w:w="72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Q3</w:t>
            </w:r>
          </w:p>
        </w:tc>
        <w:tc>
          <w:tcPr>
            <w:tcW w:w="5420" w:type="dxa"/>
            <w:tcBorders>
              <w:bottom w:val="single" w:sz="4" w:space="0" w:color="auto"/>
            </w:tcBorders>
          </w:tcPr>
          <w:p w:rsidR="00610360" w:rsidRPr="00610DB7" w:rsidRDefault="00610360" w:rsidP="00BD53DB">
            <w:pPr>
              <w:rPr>
                <w:sz w:val="24"/>
                <w:szCs w:val="24"/>
                <w:lang w:val="en-GB"/>
              </w:rPr>
            </w:pPr>
          </w:p>
        </w:tc>
      </w:tr>
      <w:tr w:rsidR="00610DB7" w:rsidRPr="00610DB7" w:rsidTr="00610360">
        <w:tc>
          <w:tcPr>
            <w:tcW w:w="3941" w:type="dxa"/>
            <w:shd w:val="clear" w:color="auto" w:fill="auto"/>
          </w:tcPr>
          <w:p w:rsidR="00610360" w:rsidRPr="00610DB7" w:rsidRDefault="00610360" w:rsidP="00590B34">
            <w:pPr>
              <w:rPr>
                <w:sz w:val="24"/>
                <w:szCs w:val="24"/>
                <w:lang w:val="en-GB"/>
              </w:rPr>
            </w:pPr>
            <w:r w:rsidRPr="00610DB7">
              <w:rPr>
                <w:sz w:val="24"/>
                <w:szCs w:val="24"/>
                <w:lang w:val="en-GB"/>
              </w:rPr>
              <w:t xml:space="preserve">1.0 Report writing and lessons learned, summarizing the work of FFF today would be completed and shared. </w:t>
            </w:r>
          </w:p>
        </w:tc>
        <w:tc>
          <w:tcPr>
            <w:tcW w:w="661" w:type="dxa"/>
            <w:shd w:val="clear" w:color="auto" w:fill="auto"/>
            <w:vAlign w:val="center"/>
          </w:tcPr>
          <w:p w:rsidR="00610360" w:rsidRPr="00610DB7" w:rsidRDefault="00610360" w:rsidP="00BD53DB">
            <w:pPr>
              <w:rPr>
                <w:sz w:val="24"/>
                <w:szCs w:val="24"/>
                <w:lang w:val="en-GB"/>
              </w:rPr>
            </w:pPr>
            <w:r w:rsidRPr="00610DB7">
              <w:rPr>
                <w:sz w:val="24"/>
                <w:szCs w:val="24"/>
                <w:lang w:val="en-GB"/>
              </w:rPr>
              <w:t>x</w:t>
            </w:r>
          </w:p>
        </w:tc>
        <w:tc>
          <w:tcPr>
            <w:tcW w:w="630" w:type="dxa"/>
            <w:shd w:val="clear" w:color="auto" w:fill="auto"/>
            <w:vAlign w:val="center"/>
          </w:tcPr>
          <w:p w:rsidR="00610360" w:rsidRPr="00610DB7" w:rsidRDefault="00610360" w:rsidP="00BD53DB">
            <w:pPr>
              <w:rPr>
                <w:sz w:val="24"/>
                <w:szCs w:val="24"/>
                <w:lang w:val="en-GB"/>
              </w:rPr>
            </w:pPr>
          </w:p>
        </w:tc>
        <w:tc>
          <w:tcPr>
            <w:tcW w:w="720" w:type="dxa"/>
            <w:shd w:val="clear" w:color="auto" w:fill="auto"/>
            <w:vAlign w:val="center"/>
          </w:tcPr>
          <w:p w:rsidR="00610360" w:rsidRPr="00610DB7" w:rsidRDefault="00610360" w:rsidP="00BD53DB">
            <w:pPr>
              <w:rPr>
                <w:sz w:val="24"/>
                <w:szCs w:val="24"/>
                <w:lang w:val="en-GB"/>
              </w:rPr>
            </w:pPr>
          </w:p>
        </w:tc>
        <w:tc>
          <w:tcPr>
            <w:tcW w:w="5420" w:type="dxa"/>
            <w:shd w:val="clear" w:color="auto" w:fill="auto"/>
          </w:tcPr>
          <w:p w:rsidR="00610360" w:rsidRPr="00610DB7" w:rsidRDefault="004925DA" w:rsidP="009579BB">
            <w:pPr>
              <w:pStyle w:val="ListParagraph"/>
              <w:numPr>
                <w:ilvl w:val="0"/>
                <w:numId w:val="30"/>
              </w:numPr>
              <w:rPr>
                <w:sz w:val="24"/>
                <w:szCs w:val="24"/>
                <w:lang w:val="en-GB"/>
              </w:rPr>
            </w:pPr>
            <w:r w:rsidRPr="00610DB7">
              <w:rPr>
                <w:sz w:val="24"/>
                <w:szCs w:val="24"/>
                <w:lang w:val="en-GB"/>
              </w:rPr>
              <w:t xml:space="preserve">The </w:t>
            </w:r>
            <w:r w:rsidR="00590B34" w:rsidRPr="00610DB7">
              <w:rPr>
                <w:sz w:val="24"/>
                <w:szCs w:val="24"/>
                <w:lang w:val="en-GB"/>
              </w:rPr>
              <w:t xml:space="preserve">Draft </w:t>
            </w:r>
            <w:r w:rsidRPr="00610DB7">
              <w:rPr>
                <w:sz w:val="24"/>
                <w:szCs w:val="24"/>
                <w:lang w:val="en-GB"/>
              </w:rPr>
              <w:t xml:space="preserve">Final Report on </w:t>
            </w:r>
            <w:r w:rsidR="00590B34" w:rsidRPr="00610DB7">
              <w:rPr>
                <w:sz w:val="24"/>
                <w:szCs w:val="24"/>
                <w:lang w:val="en-GB"/>
              </w:rPr>
              <w:t>the FFF through December 2017</w:t>
            </w:r>
            <w:r w:rsidRPr="00610DB7">
              <w:rPr>
                <w:sz w:val="24"/>
                <w:szCs w:val="24"/>
                <w:lang w:val="en-GB"/>
              </w:rPr>
              <w:t xml:space="preserve"> including narrative and provisional financial statements will be completed by January 31 and presented to the Donor Support Group and Steering Committee on Feb. 27-March 1. </w:t>
            </w:r>
          </w:p>
          <w:p w:rsidR="004925DA" w:rsidRPr="00610DB7" w:rsidRDefault="00590B34" w:rsidP="00590B34">
            <w:pPr>
              <w:pStyle w:val="ListParagraph"/>
              <w:numPr>
                <w:ilvl w:val="0"/>
                <w:numId w:val="30"/>
              </w:numPr>
              <w:rPr>
                <w:sz w:val="24"/>
                <w:szCs w:val="24"/>
                <w:lang w:val="en-GB"/>
              </w:rPr>
            </w:pPr>
            <w:r w:rsidRPr="00610DB7">
              <w:rPr>
                <w:sz w:val="24"/>
                <w:szCs w:val="24"/>
                <w:lang w:val="en-GB"/>
              </w:rPr>
              <w:t xml:space="preserve">Official progress report and certified </w:t>
            </w:r>
            <w:r w:rsidR="004925DA" w:rsidRPr="00610DB7">
              <w:rPr>
                <w:sz w:val="24"/>
                <w:szCs w:val="24"/>
                <w:lang w:val="en-GB"/>
              </w:rPr>
              <w:t xml:space="preserve">Annual Financial Reports </w:t>
            </w:r>
            <w:r w:rsidRPr="00610DB7">
              <w:rPr>
                <w:sz w:val="24"/>
                <w:szCs w:val="24"/>
                <w:lang w:val="en-GB"/>
              </w:rPr>
              <w:t xml:space="preserve">through </w:t>
            </w:r>
            <w:r w:rsidR="009579BB" w:rsidRPr="00610DB7">
              <w:rPr>
                <w:sz w:val="24"/>
                <w:szCs w:val="24"/>
                <w:lang w:val="en-GB"/>
              </w:rPr>
              <w:t xml:space="preserve">the year 2017 </w:t>
            </w:r>
            <w:r w:rsidR="004925DA" w:rsidRPr="00610DB7">
              <w:rPr>
                <w:sz w:val="24"/>
                <w:szCs w:val="24"/>
                <w:lang w:val="en-GB"/>
              </w:rPr>
              <w:t xml:space="preserve">will be shared with donors as usual by June 30 </w:t>
            </w:r>
            <w:r w:rsidRPr="00610DB7">
              <w:rPr>
                <w:sz w:val="24"/>
                <w:szCs w:val="24"/>
                <w:lang w:val="en-GB"/>
              </w:rPr>
              <w:t>2018</w:t>
            </w:r>
            <w:r w:rsidR="004925DA" w:rsidRPr="00610DB7">
              <w:rPr>
                <w:sz w:val="24"/>
                <w:szCs w:val="24"/>
                <w:lang w:val="en-GB"/>
              </w:rPr>
              <w:t xml:space="preserve">.  </w:t>
            </w:r>
          </w:p>
        </w:tc>
      </w:tr>
      <w:tr w:rsidR="00610DB7" w:rsidRPr="00610DB7" w:rsidTr="00610360">
        <w:tc>
          <w:tcPr>
            <w:tcW w:w="3941" w:type="dxa"/>
            <w:shd w:val="clear" w:color="auto" w:fill="auto"/>
          </w:tcPr>
          <w:p w:rsidR="00610360" w:rsidRPr="00610DB7" w:rsidRDefault="00610360" w:rsidP="00590B34">
            <w:pPr>
              <w:rPr>
                <w:sz w:val="24"/>
                <w:szCs w:val="24"/>
                <w:lang w:val="en-GB"/>
              </w:rPr>
            </w:pPr>
            <w:r w:rsidRPr="00610DB7">
              <w:rPr>
                <w:sz w:val="24"/>
                <w:szCs w:val="24"/>
                <w:lang w:val="en-GB"/>
              </w:rPr>
              <w:t xml:space="preserve">      1.1 knowledge papers </w:t>
            </w:r>
            <w:r w:rsidR="00A41A9F" w:rsidRPr="00610DB7">
              <w:rPr>
                <w:sz w:val="24"/>
                <w:szCs w:val="24"/>
                <w:lang w:val="en-GB"/>
              </w:rPr>
              <w:t>a</w:t>
            </w:r>
            <w:r w:rsidR="00590B34" w:rsidRPr="00610DB7">
              <w:rPr>
                <w:sz w:val="24"/>
                <w:szCs w:val="24"/>
                <w:lang w:val="en-GB"/>
              </w:rPr>
              <w:t xml:space="preserve">nd communications materials </w:t>
            </w:r>
            <w:r w:rsidRPr="00610DB7">
              <w:rPr>
                <w:sz w:val="24"/>
                <w:szCs w:val="24"/>
                <w:lang w:val="en-GB"/>
              </w:rPr>
              <w:t>would be completed and shared.</w:t>
            </w:r>
          </w:p>
        </w:tc>
        <w:tc>
          <w:tcPr>
            <w:tcW w:w="661" w:type="dxa"/>
            <w:shd w:val="clear" w:color="auto" w:fill="auto"/>
            <w:vAlign w:val="center"/>
          </w:tcPr>
          <w:p w:rsidR="00610360" w:rsidRPr="00610DB7" w:rsidRDefault="00610360" w:rsidP="00BD53DB">
            <w:pPr>
              <w:rPr>
                <w:sz w:val="24"/>
                <w:szCs w:val="24"/>
                <w:lang w:val="en-GB"/>
              </w:rPr>
            </w:pPr>
            <w:r w:rsidRPr="00610DB7">
              <w:rPr>
                <w:sz w:val="24"/>
                <w:szCs w:val="24"/>
                <w:lang w:val="en-GB"/>
              </w:rPr>
              <w:t>x</w:t>
            </w:r>
          </w:p>
        </w:tc>
        <w:tc>
          <w:tcPr>
            <w:tcW w:w="630" w:type="dxa"/>
            <w:shd w:val="clear" w:color="auto" w:fill="auto"/>
            <w:vAlign w:val="center"/>
          </w:tcPr>
          <w:p w:rsidR="00610360" w:rsidRPr="00610DB7" w:rsidRDefault="00610360" w:rsidP="00BD53DB">
            <w:pPr>
              <w:rPr>
                <w:sz w:val="24"/>
                <w:szCs w:val="24"/>
                <w:lang w:val="en-GB"/>
              </w:rPr>
            </w:pPr>
          </w:p>
        </w:tc>
        <w:tc>
          <w:tcPr>
            <w:tcW w:w="720" w:type="dxa"/>
            <w:shd w:val="clear" w:color="auto" w:fill="auto"/>
            <w:vAlign w:val="center"/>
          </w:tcPr>
          <w:p w:rsidR="00610360" w:rsidRPr="00610DB7" w:rsidRDefault="00610360" w:rsidP="00BD53DB">
            <w:pPr>
              <w:rPr>
                <w:sz w:val="24"/>
                <w:szCs w:val="24"/>
                <w:lang w:val="en-GB"/>
              </w:rPr>
            </w:pPr>
          </w:p>
        </w:tc>
        <w:tc>
          <w:tcPr>
            <w:tcW w:w="5420" w:type="dxa"/>
            <w:shd w:val="clear" w:color="auto" w:fill="auto"/>
          </w:tcPr>
          <w:p w:rsidR="00610360" w:rsidRPr="00610DB7" w:rsidRDefault="009579BB" w:rsidP="00610360">
            <w:pPr>
              <w:pStyle w:val="ListParagraph"/>
              <w:numPr>
                <w:ilvl w:val="0"/>
                <w:numId w:val="28"/>
              </w:numPr>
              <w:rPr>
                <w:sz w:val="24"/>
                <w:szCs w:val="24"/>
                <w:lang w:val="en-GB"/>
              </w:rPr>
            </w:pPr>
            <w:r w:rsidRPr="00610DB7">
              <w:rPr>
                <w:sz w:val="24"/>
                <w:szCs w:val="24"/>
                <w:lang w:val="en-GB"/>
              </w:rPr>
              <w:t xml:space="preserve">All </w:t>
            </w:r>
            <w:r w:rsidR="00A41A9F" w:rsidRPr="00610DB7">
              <w:rPr>
                <w:sz w:val="24"/>
                <w:szCs w:val="24"/>
                <w:lang w:val="en-GB"/>
              </w:rPr>
              <w:t>knowledge</w:t>
            </w:r>
            <w:r w:rsidRPr="00610DB7">
              <w:rPr>
                <w:sz w:val="24"/>
                <w:szCs w:val="24"/>
                <w:lang w:val="en-GB"/>
              </w:rPr>
              <w:t xml:space="preserve"> m</w:t>
            </w:r>
            <w:r w:rsidR="00610360" w:rsidRPr="00610DB7">
              <w:rPr>
                <w:sz w:val="24"/>
                <w:szCs w:val="24"/>
                <w:lang w:val="en-GB"/>
              </w:rPr>
              <w:t>aterials</w:t>
            </w:r>
            <w:r w:rsidRPr="00610DB7">
              <w:rPr>
                <w:sz w:val="24"/>
                <w:szCs w:val="24"/>
                <w:lang w:val="en-GB"/>
              </w:rPr>
              <w:t>, videos and com</w:t>
            </w:r>
            <w:r w:rsidR="00590B34" w:rsidRPr="00610DB7">
              <w:rPr>
                <w:sz w:val="24"/>
                <w:szCs w:val="24"/>
                <w:lang w:val="en-GB"/>
              </w:rPr>
              <w:t xml:space="preserve">munications materials through December </w:t>
            </w:r>
            <w:proofErr w:type="gramStart"/>
            <w:r w:rsidR="00590B34" w:rsidRPr="00610DB7">
              <w:rPr>
                <w:sz w:val="24"/>
                <w:szCs w:val="24"/>
                <w:lang w:val="en-GB"/>
              </w:rPr>
              <w:t xml:space="preserve">2017 </w:t>
            </w:r>
            <w:r w:rsidR="00610360" w:rsidRPr="00610DB7">
              <w:rPr>
                <w:sz w:val="24"/>
                <w:szCs w:val="24"/>
                <w:lang w:val="en-GB"/>
              </w:rPr>
              <w:t xml:space="preserve"> </w:t>
            </w:r>
            <w:r w:rsidRPr="00610DB7">
              <w:rPr>
                <w:sz w:val="24"/>
                <w:szCs w:val="24"/>
                <w:lang w:val="en-GB"/>
              </w:rPr>
              <w:t>completed</w:t>
            </w:r>
            <w:proofErr w:type="gramEnd"/>
            <w:r w:rsidRPr="00610DB7">
              <w:rPr>
                <w:sz w:val="24"/>
                <w:szCs w:val="24"/>
                <w:lang w:val="en-GB"/>
              </w:rPr>
              <w:t xml:space="preserve"> before the February Steering Committee meeting. </w:t>
            </w:r>
          </w:p>
          <w:p w:rsidR="00610360" w:rsidRPr="00610DB7" w:rsidRDefault="00610360" w:rsidP="00610360">
            <w:pPr>
              <w:ind w:left="720"/>
              <w:rPr>
                <w:sz w:val="24"/>
                <w:szCs w:val="24"/>
                <w:lang w:val="en-GB"/>
              </w:rPr>
            </w:pPr>
          </w:p>
        </w:tc>
      </w:tr>
      <w:tr w:rsidR="00610DB7" w:rsidRPr="00610DB7" w:rsidTr="00610360">
        <w:tc>
          <w:tcPr>
            <w:tcW w:w="3941" w:type="dxa"/>
            <w:shd w:val="clear" w:color="auto" w:fill="auto"/>
          </w:tcPr>
          <w:p w:rsidR="00610360" w:rsidRPr="00610DB7" w:rsidRDefault="00610360" w:rsidP="00610360">
            <w:pPr>
              <w:ind w:left="360"/>
              <w:rPr>
                <w:sz w:val="24"/>
                <w:szCs w:val="24"/>
                <w:lang w:val="en-GB"/>
              </w:rPr>
            </w:pPr>
            <w:r w:rsidRPr="00610DB7">
              <w:rPr>
                <w:sz w:val="24"/>
                <w:szCs w:val="24"/>
                <w:lang w:val="en-GB"/>
              </w:rPr>
              <w:t xml:space="preserve">1.2  A major learning event will be held before the end of April 2018 as part of a larger effort by FAO to look at its work with producer organizations and discuss how to go to scale as an input into the transition to phase II. </w:t>
            </w:r>
          </w:p>
        </w:tc>
        <w:tc>
          <w:tcPr>
            <w:tcW w:w="661" w:type="dxa"/>
            <w:shd w:val="clear" w:color="auto" w:fill="auto"/>
            <w:vAlign w:val="center"/>
          </w:tcPr>
          <w:p w:rsidR="00610360" w:rsidRPr="00610DB7" w:rsidRDefault="00610360" w:rsidP="00BD53DB">
            <w:pPr>
              <w:rPr>
                <w:sz w:val="24"/>
                <w:szCs w:val="24"/>
                <w:lang w:val="en-GB"/>
              </w:rPr>
            </w:pPr>
          </w:p>
        </w:tc>
        <w:tc>
          <w:tcPr>
            <w:tcW w:w="630" w:type="dxa"/>
            <w:shd w:val="clear" w:color="auto" w:fill="auto"/>
            <w:vAlign w:val="center"/>
          </w:tcPr>
          <w:p w:rsidR="00610360" w:rsidRPr="00610DB7" w:rsidRDefault="00610360" w:rsidP="00BD53DB">
            <w:pPr>
              <w:rPr>
                <w:sz w:val="24"/>
                <w:szCs w:val="24"/>
                <w:lang w:val="en-GB"/>
              </w:rPr>
            </w:pPr>
            <w:r w:rsidRPr="00610DB7">
              <w:rPr>
                <w:sz w:val="24"/>
                <w:szCs w:val="24"/>
                <w:lang w:val="en-GB"/>
              </w:rPr>
              <w:t>x</w:t>
            </w:r>
          </w:p>
        </w:tc>
        <w:tc>
          <w:tcPr>
            <w:tcW w:w="720" w:type="dxa"/>
            <w:shd w:val="clear" w:color="auto" w:fill="auto"/>
            <w:vAlign w:val="center"/>
          </w:tcPr>
          <w:p w:rsidR="00610360" w:rsidRPr="00610DB7" w:rsidRDefault="00610360" w:rsidP="00BD53DB">
            <w:pPr>
              <w:rPr>
                <w:sz w:val="24"/>
                <w:szCs w:val="24"/>
                <w:lang w:val="en-GB"/>
              </w:rPr>
            </w:pPr>
          </w:p>
        </w:tc>
        <w:tc>
          <w:tcPr>
            <w:tcW w:w="5420" w:type="dxa"/>
            <w:shd w:val="clear" w:color="auto" w:fill="auto"/>
          </w:tcPr>
          <w:p w:rsidR="00610360" w:rsidRPr="00610DB7" w:rsidRDefault="00A41A9F" w:rsidP="00590B34">
            <w:pPr>
              <w:pStyle w:val="ListParagraph"/>
              <w:numPr>
                <w:ilvl w:val="0"/>
                <w:numId w:val="28"/>
              </w:numPr>
              <w:rPr>
                <w:sz w:val="24"/>
                <w:szCs w:val="24"/>
                <w:lang w:val="en-GB"/>
              </w:rPr>
            </w:pPr>
            <w:r w:rsidRPr="00610DB7">
              <w:rPr>
                <w:sz w:val="24"/>
                <w:szCs w:val="24"/>
                <w:lang w:val="en-GB"/>
              </w:rPr>
              <w:t>A summary of key experiences to date with recommendations for incorporation in</w:t>
            </w:r>
            <w:r w:rsidR="00590B34" w:rsidRPr="00610DB7">
              <w:rPr>
                <w:sz w:val="24"/>
                <w:szCs w:val="24"/>
                <w:lang w:val="en-GB"/>
              </w:rPr>
              <w:t xml:space="preserve">to the transition planning for </w:t>
            </w:r>
            <w:r w:rsidRPr="00610DB7">
              <w:rPr>
                <w:sz w:val="24"/>
                <w:szCs w:val="24"/>
                <w:lang w:val="en-GB"/>
              </w:rPr>
              <w:t>Phase II</w:t>
            </w:r>
            <w:r w:rsidR="00610360" w:rsidRPr="00610DB7">
              <w:rPr>
                <w:sz w:val="24"/>
                <w:szCs w:val="24"/>
                <w:lang w:val="en-GB"/>
              </w:rPr>
              <w:t>.</w:t>
            </w:r>
            <w:r w:rsidRPr="00610DB7">
              <w:rPr>
                <w:sz w:val="24"/>
                <w:szCs w:val="24"/>
                <w:lang w:val="en-GB"/>
              </w:rPr>
              <w:t xml:space="preserve">  </w:t>
            </w:r>
          </w:p>
        </w:tc>
      </w:tr>
      <w:tr w:rsidR="00610DB7" w:rsidRPr="00610DB7" w:rsidTr="00610360">
        <w:trPr>
          <w:trHeight w:val="521"/>
        </w:trPr>
        <w:tc>
          <w:tcPr>
            <w:tcW w:w="3941" w:type="dxa"/>
          </w:tcPr>
          <w:p w:rsidR="00610360" w:rsidRPr="00610DB7" w:rsidRDefault="00610360" w:rsidP="00463B67">
            <w:pPr>
              <w:rPr>
                <w:sz w:val="24"/>
                <w:szCs w:val="24"/>
              </w:rPr>
            </w:pPr>
            <w:r w:rsidRPr="00610DB7">
              <w:rPr>
                <w:sz w:val="24"/>
                <w:szCs w:val="24"/>
                <w:lang w:val="en-GB"/>
              </w:rPr>
              <w:t>2.0 Country selection and operational preparation:</w:t>
            </w:r>
          </w:p>
        </w:tc>
        <w:tc>
          <w:tcPr>
            <w:tcW w:w="661" w:type="dxa"/>
            <w:vAlign w:val="center"/>
          </w:tcPr>
          <w:p w:rsidR="00610360" w:rsidRPr="00610DB7" w:rsidRDefault="00610360" w:rsidP="00BD53DB">
            <w:pPr>
              <w:rPr>
                <w:sz w:val="24"/>
                <w:szCs w:val="24"/>
                <w:lang w:val="en-GB"/>
              </w:rPr>
            </w:pPr>
          </w:p>
        </w:tc>
        <w:tc>
          <w:tcPr>
            <w:tcW w:w="630" w:type="dxa"/>
            <w:vAlign w:val="center"/>
          </w:tcPr>
          <w:p w:rsidR="00610360" w:rsidRPr="00610DB7" w:rsidRDefault="00610360" w:rsidP="00BD53DB">
            <w:pPr>
              <w:rPr>
                <w:sz w:val="24"/>
                <w:szCs w:val="24"/>
                <w:lang w:val="en-GB"/>
              </w:rPr>
            </w:pPr>
          </w:p>
        </w:tc>
        <w:tc>
          <w:tcPr>
            <w:tcW w:w="720" w:type="dxa"/>
            <w:vAlign w:val="center"/>
          </w:tcPr>
          <w:p w:rsidR="00610360" w:rsidRPr="00610DB7" w:rsidRDefault="00610360" w:rsidP="00BD53DB">
            <w:pPr>
              <w:rPr>
                <w:sz w:val="24"/>
                <w:szCs w:val="24"/>
                <w:lang w:val="en-GB"/>
              </w:rPr>
            </w:pPr>
          </w:p>
        </w:tc>
        <w:tc>
          <w:tcPr>
            <w:tcW w:w="5420" w:type="dxa"/>
          </w:tcPr>
          <w:p w:rsidR="00610360" w:rsidRPr="00610DB7" w:rsidRDefault="00610360" w:rsidP="00463B67">
            <w:pPr>
              <w:pStyle w:val="ListParagraph"/>
              <w:ind w:left="301"/>
              <w:rPr>
                <w:sz w:val="24"/>
                <w:szCs w:val="24"/>
              </w:rPr>
            </w:pPr>
          </w:p>
        </w:tc>
      </w:tr>
      <w:tr w:rsidR="00610DB7" w:rsidRPr="00610DB7" w:rsidTr="00610360">
        <w:tc>
          <w:tcPr>
            <w:tcW w:w="3941" w:type="dxa"/>
          </w:tcPr>
          <w:p w:rsidR="00610360" w:rsidRPr="00610DB7" w:rsidRDefault="00610360" w:rsidP="00861B05">
            <w:pPr>
              <w:ind w:left="360"/>
              <w:rPr>
                <w:sz w:val="24"/>
                <w:szCs w:val="24"/>
                <w:lang w:val="en-GB"/>
              </w:rPr>
            </w:pPr>
            <w:r w:rsidRPr="00610DB7">
              <w:rPr>
                <w:sz w:val="24"/>
                <w:szCs w:val="24"/>
              </w:rPr>
              <w:t>2.1 O</w:t>
            </w:r>
            <w:r w:rsidR="00FF6056" w:rsidRPr="00610DB7">
              <w:rPr>
                <w:sz w:val="24"/>
                <w:szCs w:val="24"/>
                <w:lang w:val="en-GB"/>
              </w:rPr>
              <w:t>versight</w:t>
            </w:r>
            <w:r w:rsidRPr="00610DB7">
              <w:rPr>
                <w:sz w:val="24"/>
                <w:szCs w:val="24"/>
                <w:lang w:val="en-GB"/>
              </w:rPr>
              <w:t xml:space="preserve"> and management of the calls for expressions of </w:t>
            </w:r>
            <w:r w:rsidR="00A41A9F" w:rsidRPr="00610DB7">
              <w:rPr>
                <w:sz w:val="24"/>
                <w:szCs w:val="24"/>
                <w:lang w:val="en-GB"/>
              </w:rPr>
              <w:t>interest</w:t>
            </w:r>
            <w:r w:rsidR="00861B05" w:rsidRPr="00610DB7">
              <w:rPr>
                <w:sz w:val="24"/>
                <w:szCs w:val="24"/>
                <w:lang w:val="en-GB"/>
              </w:rPr>
              <w:t>.</w:t>
            </w:r>
          </w:p>
        </w:tc>
        <w:tc>
          <w:tcPr>
            <w:tcW w:w="661" w:type="dxa"/>
            <w:vAlign w:val="center"/>
          </w:tcPr>
          <w:p w:rsidR="00610360" w:rsidRPr="00610DB7" w:rsidRDefault="00610360" w:rsidP="00BD53DB">
            <w:pPr>
              <w:rPr>
                <w:sz w:val="24"/>
                <w:szCs w:val="24"/>
                <w:lang w:val="en-GB"/>
              </w:rPr>
            </w:pPr>
            <w:r w:rsidRPr="00610DB7">
              <w:rPr>
                <w:sz w:val="24"/>
                <w:szCs w:val="24"/>
                <w:lang w:val="en-GB"/>
              </w:rPr>
              <w:t>x</w:t>
            </w:r>
          </w:p>
        </w:tc>
        <w:tc>
          <w:tcPr>
            <w:tcW w:w="630" w:type="dxa"/>
            <w:vAlign w:val="center"/>
          </w:tcPr>
          <w:p w:rsidR="00610360" w:rsidRPr="00610DB7" w:rsidRDefault="00610360" w:rsidP="00BD53DB">
            <w:pPr>
              <w:rPr>
                <w:sz w:val="24"/>
                <w:szCs w:val="24"/>
                <w:lang w:val="en-GB"/>
              </w:rPr>
            </w:pPr>
          </w:p>
        </w:tc>
        <w:tc>
          <w:tcPr>
            <w:tcW w:w="720" w:type="dxa"/>
            <w:vAlign w:val="center"/>
          </w:tcPr>
          <w:p w:rsidR="00610360" w:rsidRPr="00610DB7" w:rsidRDefault="00610360" w:rsidP="00BD53DB">
            <w:pPr>
              <w:rPr>
                <w:sz w:val="24"/>
                <w:szCs w:val="24"/>
                <w:lang w:val="en-GB"/>
              </w:rPr>
            </w:pPr>
          </w:p>
        </w:tc>
        <w:tc>
          <w:tcPr>
            <w:tcW w:w="5420" w:type="dxa"/>
            <w:vMerge w:val="restart"/>
          </w:tcPr>
          <w:p w:rsidR="00610360" w:rsidRPr="00610DB7" w:rsidRDefault="00A41A9F" w:rsidP="00463B67">
            <w:pPr>
              <w:pStyle w:val="ListParagraph"/>
              <w:numPr>
                <w:ilvl w:val="0"/>
                <w:numId w:val="27"/>
              </w:numPr>
              <w:rPr>
                <w:sz w:val="24"/>
                <w:szCs w:val="24"/>
              </w:rPr>
            </w:pPr>
            <w:r w:rsidRPr="00610DB7">
              <w:rPr>
                <w:sz w:val="24"/>
                <w:szCs w:val="24"/>
              </w:rPr>
              <w:t xml:space="preserve">Final </w:t>
            </w:r>
            <w:r w:rsidR="00610360" w:rsidRPr="00610DB7">
              <w:rPr>
                <w:sz w:val="24"/>
                <w:szCs w:val="24"/>
              </w:rPr>
              <w:t>selection and ranking of candidate partner countries</w:t>
            </w:r>
          </w:p>
          <w:p w:rsidR="00610360" w:rsidRPr="00610DB7" w:rsidRDefault="00610360" w:rsidP="00BD53DB">
            <w:pPr>
              <w:ind w:left="301" w:hanging="283"/>
              <w:rPr>
                <w:sz w:val="24"/>
                <w:szCs w:val="24"/>
                <w:lang w:val="en-GB"/>
              </w:rPr>
            </w:pPr>
          </w:p>
        </w:tc>
      </w:tr>
      <w:tr w:rsidR="00610DB7" w:rsidRPr="00610DB7" w:rsidTr="00610360">
        <w:tc>
          <w:tcPr>
            <w:tcW w:w="3941" w:type="dxa"/>
            <w:tcBorders>
              <w:bottom w:val="single" w:sz="4" w:space="0" w:color="auto"/>
            </w:tcBorders>
          </w:tcPr>
          <w:p w:rsidR="00610360" w:rsidRPr="00610DB7" w:rsidRDefault="00610360" w:rsidP="00861B05">
            <w:pPr>
              <w:ind w:left="360"/>
              <w:rPr>
                <w:sz w:val="24"/>
                <w:szCs w:val="24"/>
                <w:lang w:val="en-GB"/>
              </w:rPr>
            </w:pPr>
            <w:r w:rsidRPr="00610DB7">
              <w:rPr>
                <w:sz w:val="24"/>
                <w:szCs w:val="24"/>
              </w:rPr>
              <w:t>2.2 F</w:t>
            </w:r>
            <w:proofErr w:type="spellStart"/>
            <w:r w:rsidR="00FF6056" w:rsidRPr="00610DB7">
              <w:rPr>
                <w:sz w:val="24"/>
                <w:szCs w:val="24"/>
                <w:lang w:val="en-GB"/>
              </w:rPr>
              <w:t>acilitation</w:t>
            </w:r>
            <w:proofErr w:type="spellEnd"/>
            <w:r w:rsidRPr="00610DB7">
              <w:rPr>
                <w:sz w:val="24"/>
                <w:szCs w:val="24"/>
                <w:lang w:val="en-GB"/>
              </w:rPr>
              <w:t xml:space="preserve"> of a selection panel and, with them, </w:t>
            </w:r>
            <w:proofErr w:type="gramStart"/>
            <w:r w:rsidRPr="00610DB7">
              <w:rPr>
                <w:sz w:val="24"/>
                <w:szCs w:val="24"/>
                <w:lang w:val="en-GB"/>
              </w:rPr>
              <w:t xml:space="preserve">the </w:t>
            </w:r>
            <w:r w:rsidR="00861B05" w:rsidRPr="00610DB7">
              <w:rPr>
                <w:sz w:val="24"/>
                <w:szCs w:val="24"/>
                <w:lang w:val="en-GB"/>
              </w:rPr>
              <w:t>a</w:t>
            </w:r>
            <w:proofErr w:type="gramEnd"/>
            <w:r w:rsidR="00861B05" w:rsidRPr="00610DB7">
              <w:rPr>
                <w:sz w:val="24"/>
                <w:szCs w:val="24"/>
              </w:rPr>
              <w:t xml:space="preserve"> comprehensive analysis of expressions of interest </w:t>
            </w:r>
            <w:proofErr w:type="spellStart"/>
            <w:r w:rsidR="00861B05" w:rsidRPr="00610DB7">
              <w:rPr>
                <w:sz w:val="24"/>
                <w:szCs w:val="24"/>
              </w:rPr>
              <w:t>recevied</w:t>
            </w:r>
            <w:proofErr w:type="spellEnd"/>
            <w:r w:rsidR="00861B05" w:rsidRPr="00610DB7">
              <w:rPr>
                <w:sz w:val="24"/>
                <w:szCs w:val="24"/>
              </w:rPr>
              <w:t>.</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p>
        </w:tc>
        <w:tc>
          <w:tcPr>
            <w:tcW w:w="720" w:type="dxa"/>
            <w:tcBorders>
              <w:bottom w:val="single" w:sz="4" w:space="0" w:color="auto"/>
            </w:tcBorders>
            <w:vAlign w:val="center"/>
          </w:tcPr>
          <w:p w:rsidR="00610360" w:rsidRPr="00610DB7" w:rsidRDefault="00610360" w:rsidP="00BD53DB">
            <w:pPr>
              <w:rPr>
                <w:sz w:val="24"/>
                <w:szCs w:val="24"/>
                <w:lang w:val="en-GB"/>
              </w:rPr>
            </w:pPr>
          </w:p>
        </w:tc>
        <w:tc>
          <w:tcPr>
            <w:tcW w:w="5420" w:type="dxa"/>
            <w:vMerge/>
            <w:tcBorders>
              <w:bottom w:val="single" w:sz="4" w:space="0" w:color="auto"/>
            </w:tcBorders>
          </w:tcPr>
          <w:p w:rsidR="00610360" w:rsidRPr="00610DB7" w:rsidRDefault="00610360" w:rsidP="00463B67">
            <w:pPr>
              <w:pStyle w:val="ListParagraph"/>
              <w:numPr>
                <w:ilvl w:val="0"/>
                <w:numId w:val="27"/>
              </w:numPr>
              <w:rPr>
                <w:sz w:val="24"/>
                <w:szCs w:val="24"/>
                <w:lang w:val="en-GB"/>
              </w:rPr>
            </w:pPr>
          </w:p>
        </w:tc>
      </w:tr>
      <w:tr w:rsidR="00610DB7" w:rsidRPr="00610DB7" w:rsidTr="00610360">
        <w:tc>
          <w:tcPr>
            <w:tcW w:w="3941" w:type="dxa"/>
            <w:tcBorders>
              <w:bottom w:val="single" w:sz="4" w:space="0" w:color="auto"/>
            </w:tcBorders>
          </w:tcPr>
          <w:p w:rsidR="00610360" w:rsidRPr="00610DB7" w:rsidRDefault="00610360" w:rsidP="00610360">
            <w:pPr>
              <w:ind w:left="360"/>
              <w:rPr>
                <w:sz w:val="24"/>
                <w:szCs w:val="24"/>
                <w:lang w:val="en-GB"/>
              </w:rPr>
            </w:pPr>
            <w:r w:rsidRPr="00610DB7">
              <w:rPr>
                <w:sz w:val="24"/>
                <w:szCs w:val="24"/>
              </w:rPr>
              <w:t>2.3 F</w:t>
            </w:r>
            <w:proofErr w:type="spellStart"/>
            <w:r w:rsidR="00A41A9F" w:rsidRPr="00610DB7">
              <w:rPr>
                <w:sz w:val="24"/>
                <w:szCs w:val="24"/>
                <w:lang w:val="en-GB"/>
              </w:rPr>
              <w:t>easibility</w:t>
            </w:r>
            <w:proofErr w:type="spellEnd"/>
            <w:r w:rsidRPr="00610DB7">
              <w:rPr>
                <w:sz w:val="24"/>
                <w:szCs w:val="24"/>
                <w:lang w:val="en-GB"/>
              </w:rPr>
              <w:t xml:space="preserve"> assessments (in </w:t>
            </w:r>
            <w:r w:rsidR="00FF6056" w:rsidRPr="00610DB7">
              <w:rPr>
                <w:sz w:val="24"/>
                <w:szCs w:val="24"/>
                <w:lang w:val="en-GB"/>
              </w:rPr>
              <w:t>selected countries</w:t>
            </w:r>
            <w:r w:rsidRPr="00610DB7">
              <w:rPr>
                <w:sz w:val="24"/>
                <w:szCs w:val="24"/>
                <w:lang w:val="en-GB"/>
              </w:rPr>
              <w:t xml:space="preserve"> if needed</w:t>
            </w:r>
            <w:r w:rsidR="00A41A9F" w:rsidRPr="00610DB7">
              <w:rPr>
                <w:sz w:val="24"/>
                <w:szCs w:val="24"/>
                <w:lang w:val="en-GB"/>
              </w:rPr>
              <w:t xml:space="preserve"> to assess suitability and facilitate ranking as a candidate partner country</w:t>
            </w:r>
            <w:r w:rsidRPr="00610DB7">
              <w:rPr>
                <w:sz w:val="24"/>
                <w:szCs w:val="24"/>
                <w:lang w:val="en-GB"/>
              </w:rPr>
              <w:t>), identification of likely FFPO and government agency partners.</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720" w:type="dxa"/>
            <w:tcBorders>
              <w:bottom w:val="single" w:sz="4" w:space="0" w:color="auto"/>
            </w:tcBorders>
            <w:vAlign w:val="center"/>
          </w:tcPr>
          <w:p w:rsidR="00610360" w:rsidRPr="00610DB7" w:rsidRDefault="00610360" w:rsidP="00BD53DB">
            <w:pPr>
              <w:rPr>
                <w:sz w:val="24"/>
                <w:szCs w:val="24"/>
                <w:lang w:val="en-GB"/>
              </w:rPr>
            </w:pPr>
          </w:p>
        </w:tc>
        <w:tc>
          <w:tcPr>
            <w:tcW w:w="5420" w:type="dxa"/>
            <w:tcBorders>
              <w:bottom w:val="single" w:sz="4" w:space="0" w:color="auto"/>
            </w:tcBorders>
          </w:tcPr>
          <w:p w:rsidR="00610360" w:rsidRPr="00610DB7" w:rsidRDefault="00610360" w:rsidP="00463B67">
            <w:pPr>
              <w:pStyle w:val="ListParagraph"/>
              <w:numPr>
                <w:ilvl w:val="0"/>
                <w:numId w:val="27"/>
              </w:numPr>
              <w:rPr>
                <w:sz w:val="24"/>
                <w:szCs w:val="24"/>
                <w:lang w:val="en-GB"/>
              </w:rPr>
            </w:pPr>
            <w:r w:rsidRPr="00610DB7">
              <w:rPr>
                <w:sz w:val="24"/>
                <w:szCs w:val="24"/>
                <w:lang w:val="en-GB"/>
              </w:rPr>
              <w:t xml:space="preserve">Feasibility assessments completed </w:t>
            </w:r>
            <w:r w:rsidR="00861B05" w:rsidRPr="00610DB7">
              <w:rPr>
                <w:sz w:val="24"/>
                <w:szCs w:val="24"/>
                <w:lang w:val="en-GB"/>
              </w:rPr>
              <w:t xml:space="preserve">and </w:t>
            </w:r>
            <w:r w:rsidRPr="00610DB7">
              <w:rPr>
                <w:sz w:val="24"/>
                <w:szCs w:val="24"/>
                <w:lang w:val="en-GB"/>
              </w:rPr>
              <w:t xml:space="preserve"> eligibility</w:t>
            </w:r>
            <w:r w:rsidR="00861B05" w:rsidRPr="00610DB7">
              <w:rPr>
                <w:sz w:val="24"/>
                <w:szCs w:val="24"/>
                <w:lang w:val="en-GB"/>
              </w:rPr>
              <w:t xml:space="preserve"> of partner countries determined</w:t>
            </w:r>
          </w:p>
          <w:p w:rsidR="00610360" w:rsidRPr="00610DB7" w:rsidRDefault="00610360" w:rsidP="00BD53DB">
            <w:pPr>
              <w:ind w:left="301" w:hanging="283"/>
              <w:rPr>
                <w:sz w:val="24"/>
                <w:szCs w:val="24"/>
                <w:lang w:val="en-GB"/>
              </w:rPr>
            </w:pPr>
          </w:p>
          <w:p w:rsidR="00610360" w:rsidRPr="00610DB7" w:rsidRDefault="00610360" w:rsidP="00BD53DB">
            <w:pPr>
              <w:ind w:left="301" w:hanging="283"/>
              <w:rPr>
                <w:sz w:val="24"/>
                <w:szCs w:val="24"/>
                <w:lang w:val="en-GB"/>
              </w:rPr>
            </w:pPr>
          </w:p>
        </w:tc>
      </w:tr>
      <w:tr w:rsidR="00610DB7" w:rsidRPr="00610DB7" w:rsidTr="00610360">
        <w:tc>
          <w:tcPr>
            <w:tcW w:w="3941" w:type="dxa"/>
            <w:tcBorders>
              <w:bottom w:val="single" w:sz="4" w:space="0" w:color="auto"/>
            </w:tcBorders>
          </w:tcPr>
          <w:p w:rsidR="00610360" w:rsidRPr="00610DB7" w:rsidRDefault="00610360" w:rsidP="00463B67">
            <w:pPr>
              <w:ind w:left="360"/>
              <w:rPr>
                <w:sz w:val="24"/>
                <w:szCs w:val="24"/>
                <w:lang w:val="en-GB"/>
              </w:rPr>
            </w:pPr>
            <w:r w:rsidRPr="00610DB7">
              <w:rPr>
                <w:sz w:val="24"/>
                <w:szCs w:val="24"/>
              </w:rPr>
              <w:t>2.4 D</w:t>
            </w:r>
            <w:r w:rsidRPr="00610DB7">
              <w:rPr>
                <w:sz w:val="24"/>
                <w:szCs w:val="24"/>
                <w:lang w:val="en-GB"/>
              </w:rPr>
              <w:t>evelopment of work plan preparation process with country partners.</w:t>
            </w:r>
          </w:p>
        </w:tc>
        <w:tc>
          <w:tcPr>
            <w:tcW w:w="661" w:type="dxa"/>
            <w:tcBorders>
              <w:bottom w:val="single" w:sz="4" w:space="0" w:color="auto"/>
            </w:tcBorders>
            <w:vAlign w:val="center"/>
          </w:tcPr>
          <w:p w:rsidR="00610360" w:rsidRPr="00610DB7" w:rsidRDefault="00610360" w:rsidP="00BD53DB">
            <w:pPr>
              <w:rPr>
                <w:sz w:val="24"/>
                <w:szCs w:val="24"/>
                <w:lang w:val="en-GB"/>
              </w:rPr>
            </w:pP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720" w:type="dxa"/>
            <w:tcBorders>
              <w:bottom w:val="single" w:sz="4" w:space="0" w:color="auto"/>
            </w:tcBorders>
            <w:vAlign w:val="center"/>
          </w:tcPr>
          <w:p w:rsidR="00610360" w:rsidRPr="00610DB7" w:rsidRDefault="00610360" w:rsidP="00BD53DB">
            <w:pPr>
              <w:rPr>
                <w:sz w:val="24"/>
                <w:szCs w:val="24"/>
                <w:lang w:val="en-GB"/>
              </w:rPr>
            </w:pPr>
          </w:p>
        </w:tc>
        <w:tc>
          <w:tcPr>
            <w:tcW w:w="5420" w:type="dxa"/>
            <w:tcBorders>
              <w:bottom w:val="single" w:sz="4" w:space="0" w:color="auto"/>
            </w:tcBorders>
          </w:tcPr>
          <w:p w:rsidR="00610360" w:rsidRPr="00610DB7" w:rsidRDefault="00610360" w:rsidP="00463B67">
            <w:pPr>
              <w:pStyle w:val="ListParagraph"/>
              <w:numPr>
                <w:ilvl w:val="0"/>
                <w:numId w:val="27"/>
              </w:numPr>
              <w:rPr>
                <w:sz w:val="24"/>
                <w:szCs w:val="24"/>
                <w:lang w:val="en-GB"/>
              </w:rPr>
            </w:pPr>
            <w:r w:rsidRPr="00610DB7">
              <w:rPr>
                <w:sz w:val="24"/>
                <w:szCs w:val="24"/>
                <w:lang w:val="en-GB"/>
              </w:rPr>
              <w:t xml:space="preserve">Work plan elements clearly identified and preparation plans in place for work plan completion. </w:t>
            </w:r>
          </w:p>
        </w:tc>
      </w:tr>
      <w:tr w:rsidR="00610DB7" w:rsidRPr="00610DB7" w:rsidTr="00610360">
        <w:tc>
          <w:tcPr>
            <w:tcW w:w="3941" w:type="dxa"/>
            <w:tcBorders>
              <w:bottom w:val="single" w:sz="4" w:space="0" w:color="auto"/>
            </w:tcBorders>
          </w:tcPr>
          <w:p w:rsidR="00610360" w:rsidRPr="00610DB7" w:rsidRDefault="00610360" w:rsidP="00463B67">
            <w:pPr>
              <w:ind w:left="360"/>
              <w:rPr>
                <w:sz w:val="24"/>
                <w:szCs w:val="24"/>
                <w:lang w:val="en-GB"/>
              </w:rPr>
            </w:pPr>
            <w:r w:rsidRPr="00610DB7">
              <w:rPr>
                <w:sz w:val="24"/>
                <w:szCs w:val="24"/>
              </w:rPr>
              <w:t>2,5 F</w:t>
            </w:r>
            <w:r w:rsidRPr="00610DB7">
              <w:rPr>
                <w:sz w:val="24"/>
                <w:szCs w:val="24"/>
                <w:lang w:val="en-GB"/>
              </w:rPr>
              <w:t>acilitate Steering Committee and donor support groups meetings to guide Phase II work plans and monitor preparatory work.</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p>
        </w:tc>
        <w:tc>
          <w:tcPr>
            <w:tcW w:w="720" w:type="dxa"/>
            <w:tcBorders>
              <w:bottom w:val="single" w:sz="4" w:space="0" w:color="auto"/>
            </w:tcBorders>
            <w:vAlign w:val="center"/>
          </w:tcPr>
          <w:p w:rsidR="00610360" w:rsidRPr="00610DB7" w:rsidRDefault="00610360" w:rsidP="00BD53DB">
            <w:pPr>
              <w:rPr>
                <w:sz w:val="24"/>
                <w:szCs w:val="24"/>
                <w:lang w:val="en-GB"/>
              </w:rPr>
            </w:pPr>
          </w:p>
        </w:tc>
        <w:tc>
          <w:tcPr>
            <w:tcW w:w="5420" w:type="dxa"/>
            <w:tcBorders>
              <w:bottom w:val="single" w:sz="4" w:space="0" w:color="auto"/>
            </w:tcBorders>
          </w:tcPr>
          <w:p w:rsidR="00610360" w:rsidRPr="00610DB7" w:rsidRDefault="00610360" w:rsidP="00463B67">
            <w:pPr>
              <w:pStyle w:val="ListParagraph"/>
              <w:numPr>
                <w:ilvl w:val="0"/>
                <w:numId w:val="27"/>
              </w:numPr>
              <w:rPr>
                <w:sz w:val="24"/>
                <w:szCs w:val="24"/>
                <w:lang w:val="en-GB"/>
              </w:rPr>
            </w:pPr>
            <w:r w:rsidRPr="00610DB7">
              <w:rPr>
                <w:sz w:val="24"/>
                <w:szCs w:val="24"/>
                <w:lang w:val="en-GB"/>
              </w:rPr>
              <w:t>February Steering Committee and donor support group meetings to provide guidance</w:t>
            </w:r>
          </w:p>
        </w:tc>
      </w:tr>
      <w:tr w:rsidR="00610DB7" w:rsidRPr="00610DB7" w:rsidTr="00610360">
        <w:tc>
          <w:tcPr>
            <w:tcW w:w="3941" w:type="dxa"/>
            <w:tcBorders>
              <w:bottom w:val="single" w:sz="4" w:space="0" w:color="auto"/>
            </w:tcBorders>
          </w:tcPr>
          <w:p w:rsidR="00610360" w:rsidRPr="00610DB7" w:rsidRDefault="00610360" w:rsidP="00463B67">
            <w:pPr>
              <w:ind w:left="360"/>
              <w:rPr>
                <w:sz w:val="24"/>
                <w:szCs w:val="24"/>
                <w:lang w:val="en-GB"/>
              </w:rPr>
            </w:pPr>
            <w:r w:rsidRPr="00610DB7">
              <w:rPr>
                <w:sz w:val="24"/>
                <w:szCs w:val="24"/>
                <w:lang w:val="en-GB"/>
              </w:rPr>
              <w:t>2.6 Continued resource mobilization</w:t>
            </w:r>
            <w:r w:rsidR="00A41A9F" w:rsidRPr="00610DB7">
              <w:rPr>
                <w:sz w:val="24"/>
                <w:szCs w:val="24"/>
                <w:lang w:val="en-GB"/>
              </w:rPr>
              <w:t xml:space="preserve"> at all levels</w:t>
            </w:r>
            <w:r w:rsidRPr="00610DB7">
              <w:rPr>
                <w:sz w:val="24"/>
                <w:szCs w:val="24"/>
                <w:lang w:val="en-GB"/>
              </w:rPr>
              <w:t>.</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72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5420" w:type="dxa"/>
            <w:tcBorders>
              <w:bottom w:val="single" w:sz="4" w:space="0" w:color="auto"/>
            </w:tcBorders>
          </w:tcPr>
          <w:p w:rsidR="00610360" w:rsidRPr="00610DB7" w:rsidRDefault="00610360" w:rsidP="00463B67">
            <w:pPr>
              <w:pStyle w:val="ListParagraph"/>
              <w:numPr>
                <w:ilvl w:val="0"/>
                <w:numId w:val="27"/>
              </w:numPr>
              <w:rPr>
                <w:sz w:val="24"/>
                <w:szCs w:val="24"/>
                <w:lang w:val="en-GB"/>
              </w:rPr>
            </w:pPr>
            <w:r w:rsidRPr="00610DB7">
              <w:rPr>
                <w:sz w:val="24"/>
                <w:szCs w:val="24"/>
                <w:lang w:val="en-GB"/>
              </w:rPr>
              <w:t xml:space="preserve">Resource mobilization strategy updated and </w:t>
            </w:r>
          </w:p>
          <w:p w:rsidR="00610360" w:rsidRPr="00610DB7" w:rsidRDefault="00610360" w:rsidP="00463B67">
            <w:pPr>
              <w:pStyle w:val="ListParagraph"/>
              <w:numPr>
                <w:ilvl w:val="0"/>
                <w:numId w:val="27"/>
              </w:numPr>
              <w:rPr>
                <w:sz w:val="24"/>
                <w:szCs w:val="24"/>
                <w:lang w:val="en-GB"/>
              </w:rPr>
            </w:pPr>
            <w:r w:rsidRPr="00610DB7">
              <w:rPr>
                <w:sz w:val="24"/>
                <w:szCs w:val="24"/>
                <w:lang w:val="en-GB"/>
              </w:rPr>
              <w:t>Additional funding obtained for Phase II</w:t>
            </w:r>
          </w:p>
        </w:tc>
      </w:tr>
      <w:tr w:rsidR="00610DB7" w:rsidRPr="00610DB7" w:rsidTr="00610360">
        <w:tc>
          <w:tcPr>
            <w:tcW w:w="3941" w:type="dxa"/>
            <w:tcBorders>
              <w:bottom w:val="single" w:sz="4" w:space="0" w:color="auto"/>
            </w:tcBorders>
          </w:tcPr>
          <w:p w:rsidR="00610360" w:rsidRPr="00610DB7" w:rsidRDefault="00610360" w:rsidP="00463B67">
            <w:pPr>
              <w:ind w:left="360"/>
              <w:rPr>
                <w:sz w:val="24"/>
                <w:szCs w:val="24"/>
                <w:lang w:val="en-GB"/>
              </w:rPr>
            </w:pPr>
            <w:r w:rsidRPr="00610DB7">
              <w:rPr>
                <w:sz w:val="24"/>
                <w:szCs w:val="24"/>
              </w:rPr>
              <w:t>2.7 D</w:t>
            </w:r>
            <w:r w:rsidRPr="00610DB7">
              <w:rPr>
                <w:sz w:val="24"/>
                <w:szCs w:val="24"/>
                <w:lang w:val="en-GB"/>
              </w:rPr>
              <w:t>evelop strategic linkages for scaling up impacts at country, regional and global levels.</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72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5420" w:type="dxa"/>
            <w:tcBorders>
              <w:bottom w:val="single" w:sz="4" w:space="0" w:color="auto"/>
            </w:tcBorders>
          </w:tcPr>
          <w:p w:rsidR="00610360" w:rsidRPr="00610DB7" w:rsidRDefault="00610360" w:rsidP="00463B67">
            <w:pPr>
              <w:pStyle w:val="ListParagraph"/>
              <w:numPr>
                <w:ilvl w:val="0"/>
                <w:numId w:val="27"/>
              </w:numPr>
              <w:rPr>
                <w:sz w:val="24"/>
                <w:szCs w:val="24"/>
                <w:lang w:val="en-GB"/>
              </w:rPr>
            </w:pPr>
            <w:r w:rsidRPr="00610DB7">
              <w:rPr>
                <w:sz w:val="24"/>
                <w:szCs w:val="24"/>
                <w:lang w:val="en-GB"/>
              </w:rPr>
              <w:t>New partnerships formed and agreements to enhance scaling up activities</w:t>
            </w:r>
          </w:p>
        </w:tc>
      </w:tr>
      <w:tr w:rsidR="00610DB7" w:rsidRPr="00610DB7" w:rsidTr="00610360">
        <w:tc>
          <w:tcPr>
            <w:tcW w:w="3941" w:type="dxa"/>
            <w:shd w:val="clear" w:color="auto" w:fill="C2D69B"/>
          </w:tcPr>
          <w:p w:rsidR="00610360" w:rsidRPr="00610DB7" w:rsidRDefault="00610360" w:rsidP="00463B67">
            <w:pPr>
              <w:rPr>
                <w:sz w:val="24"/>
                <w:szCs w:val="24"/>
                <w:lang w:val="en-GB"/>
              </w:rPr>
            </w:pPr>
            <w:r w:rsidRPr="00610DB7">
              <w:rPr>
                <w:sz w:val="24"/>
                <w:szCs w:val="24"/>
                <w:lang w:val="en-GB"/>
              </w:rPr>
              <w:t>3. Refinement of M &amp; L and strategic work themes for Phase II</w:t>
            </w:r>
            <w:r w:rsidRPr="00610DB7">
              <w:rPr>
                <w:sz w:val="24"/>
                <w:szCs w:val="24"/>
                <w:lang w:val="en-GB"/>
              </w:rPr>
              <w:tab/>
            </w:r>
          </w:p>
        </w:tc>
        <w:tc>
          <w:tcPr>
            <w:tcW w:w="661" w:type="dxa"/>
            <w:shd w:val="clear" w:color="auto" w:fill="C2D69B"/>
            <w:vAlign w:val="center"/>
          </w:tcPr>
          <w:p w:rsidR="00610360" w:rsidRPr="00610DB7" w:rsidRDefault="00610360" w:rsidP="00BD53DB">
            <w:pPr>
              <w:rPr>
                <w:sz w:val="24"/>
                <w:szCs w:val="24"/>
                <w:lang w:val="en-GB"/>
              </w:rPr>
            </w:pPr>
          </w:p>
        </w:tc>
        <w:tc>
          <w:tcPr>
            <w:tcW w:w="630" w:type="dxa"/>
            <w:shd w:val="clear" w:color="auto" w:fill="C2D69B"/>
            <w:vAlign w:val="center"/>
          </w:tcPr>
          <w:p w:rsidR="00610360" w:rsidRPr="00610DB7" w:rsidRDefault="00610360" w:rsidP="00BD53DB">
            <w:pPr>
              <w:rPr>
                <w:sz w:val="24"/>
                <w:szCs w:val="24"/>
                <w:lang w:val="en-GB"/>
              </w:rPr>
            </w:pPr>
          </w:p>
        </w:tc>
        <w:tc>
          <w:tcPr>
            <w:tcW w:w="720" w:type="dxa"/>
            <w:shd w:val="clear" w:color="auto" w:fill="C2D69B"/>
            <w:vAlign w:val="center"/>
          </w:tcPr>
          <w:p w:rsidR="00610360" w:rsidRPr="00610DB7" w:rsidRDefault="00610360" w:rsidP="00BD53DB">
            <w:pPr>
              <w:rPr>
                <w:sz w:val="24"/>
                <w:szCs w:val="24"/>
                <w:lang w:val="en-GB"/>
              </w:rPr>
            </w:pPr>
          </w:p>
        </w:tc>
        <w:tc>
          <w:tcPr>
            <w:tcW w:w="5420" w:type="dxa"/>
            <w:shd w:val="clear" w:color="auto" w:fill="C2D69B"/>
          </w:tcPr>
          <w:p w:rsidR="00610360" w:rsidRPr="00610DB7" w:rsidRDefault="00610360" w:rsidP="00463B67">
            <w:pPr>
              <w:pStyle w:val="ListParagraph"/>
              <w:rPr>
                <w:sz w:val="24"/>
                <w:szCs w:val="24"/>
                <w:lang w:val="en-GB"/>
              </w:rPr>
            </w:pPr>
          </w:p>
        </w:tc>
      </w:tr>
      <w:tr w:rsidR="00610DB7" w:rsidRPr="00610DB7" w:rsidTr="00610360">
        <w:tc>
          <w:tcPr>
            <w:tcW w:w="3941" w:type="dxa"/>
          </w:tcPr>
          <w:p w:rsidR="00610360" w:rsidRPr="00610DB7" w:rsidRDefault="00610360" w:rsidP="00463B67">
            <w:pPr>
              <w:ind w:left="360"/>
              <w:rPr>
                <w:sz w:val="24"/>
                <w:szCs w:val="24"/>
                <w:lang w:val="en-GB"/>
              </w:rPr>
            </w:pPr>
            <w:r w:rsidRPr="00610DB7">
              <w:rPr>
                <w:sz w:val="24"/>
                <w:szCs w:val="24"/>
                <w:lang w:val="en-GB"/>
              </w:rPr>
              <w:t>3.1 Refinement of M &amp; L and knowledge management system.</w:t>
            </w:r>
          </w:p>
        </w:tc>
        <w:tc>
          <w:tcPr>
            <w:tcW w:w="661" w:type="dxa"/>
            <w:vAlign w:val="center"/>
          </w:tcPr>
          <w:p w:rsidR="00610360" w:rsidRPr="00610DB7" w:rsidRDefault="00610360" w:rsidP="00BD53DB">
            <w:pPr>
              <w:rPr>
                <w:sz w:val="24"/>
                <w:szCs w:val="24"/>
                <w:lang w:val="en-GB"/>
              </w:rPr>
            </w:pPr>
            <w:r w:rsidRPr="00610DB7">
              <w:rPr>
                <w:sz w:val="24"/>
                <w:szCs w:val="24"/>
                <w:lang w:val="en-GB"/>
              </w:rPr>
              <w:t>x</w:t>
            </w:r>
          </w:p>
        </w:tc>
        <w:tc>
          <w:tcPr>
            <w:tcW w:w="630" w:type="dxa"/>
            <w:vAlign w:val="center"/>
          </w:tcPr>
          <w:p w:rsidR="00610360" w:rsidRPr="00610DB7" w:rsidRDefault="00610360" w:rsidP="00BD53DB">
            <w:pPr>
              <w:rPr>
                <w:sz w:val="24"/>
                <w:szCs w:val="24"/>
                <w:lang w:val="en-GB"/>
              </w:rPr>
            </w:pPr>
          </w:p>
        </w:tc>
        <w:tc>
          <w:tcPr>
            <w:tcW w:w="720" w:type="dxa"/>
            <w:vAlign w:val="center"/>
          </w:tcPr>
          <w:p w:rsidR="00610360" w:rsidRPr="00610DB7" w:rsidRDefault="00610360" w:rsidP="00BD53DB">
            <w:pPr>
              <w:rPr>
                <w:sz w:val="24"/>
                <w:szCs w:val="24"/>
                <w:lang w:val="en-GB"/>
              </w:rPr>
            </w:pPr>
          </w:p>
        </w:tc>
        <w:tc>
          <w:tcPr>
            <w:tcW w:w="5420" w:type="dxa"/>
          </w:tcPr>
          <w:p w:rsidR="00610360" w:rsidRPr="00610DB7" w:rsidRDefault="00610360" w:rsidP="00463B67">
            <w:pPr>
              <w:pStyle w:val="ListParagraph"/>
              <w:numPr>
                <w:ilvl w:val="0"/>
                <w:numId w:val="27"/>
              </w:numPr>
              <w:rPr>
                <w:sz w:val="24"/>
                <w:szCs w:val="24"/>
                <w:lang w:val="en-GB"/>
              </w:rPr>
            </w:pPr>
            <w:r w:rsidRPr="00610DB7">
              <w:rPr>
                <w:sz w:val="24"/>
                <w:szCs w:val="24"/>
                <w:lang w:val="en-GB"/>
              </w:rPr>
              <w:t>New M &amp; L framework and system in place for Phase II</w:t>
            </w:r>
          </w:p>
        </w:tc>
      </w:tr>
      <w:tr w:rsidR="00610DB7" w:rsidRPr="00610DB7" w:rsidTr="00610360">
        <w:tc>
          <w:tcPr>
            <w:tcW w:w="3941" w:type="dxa"/>
            <w:tcBorders>
              <w:bottom w:val="single" w:sz="4" w:space="0" w:color="auto"/>
            </w:tcBorders>
          </w:tcPr>
          <w:p w:rsidR="00610360" w:rsidRPr="00610DB7" w:rsidRDefault="00610360" w:rsidP="00463B67">
            <w:pPr>
              <w:ind w:left="360"/>
              <w:rPr>
                <w:sz w:val="24"/>
                <w:szCs w:val="24"/>
                <w:lang w:val="en-GB"/>
              </w:rPr>
            </w:pPr>
            <w:r w:rsidRPr="00610DB7">
              <w:rPr>
                <w:sz w:val="24"/>
                <w:szCs w:val="24"/>
                <w:lang w:val="en-GB"/>
              </w:rPr>
              <w:t>3.2 Studies prioritised and selected from the following: gender equality, youth engagement, Indigenous Peoples involvement and territorial management plans, value chains and business incubation, guarantee schemes, inventory and assessment of regional and global FFPOs.</w:t>
            </w:r>
          </w:p>
        </w:tc>
        <w:tc>
          <w:tcPr>
            <w:tcW w:w="661"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63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720" w:type="dxa"/>
            <w:tcBorders>
              <w:bottom w:val="single" w:sz="4" w:space="0" w:color="auto"/>
            </w:tcBorders>
            <w:vAlign w:val="center"/>
          </w:tcPr>
          <w:p w:rsidR="00610360" w:rsidRPr="00610DB7" w:rsidRDefault="00610360" w:rsidP="00BD53DB">
            <w:pPr>
              <w:rPr>
                <w:sz w:val="24"/>
                <w:szCs w:val="24"/>
                <w:lang w:val="en-GB"/>
              </w:rPr>
            </w:pPr>
            <w:r w:rsidRPr="00610DB7">
              <w:rPr>
                <w:sz w:val="24"/>
                <w:szCs w:val="24"/>
                <w:lang w:val="en-GB"/>
              </w:rPr>
              <w:t>x</w:t>
            </w:r>
          </w:p>
        </w:tc>
        <w:tc>
          <w:tcPr>
            <w:tcW w:w="5420" w:type="dxa"/>
            <w:tcBorders>
              <w:bottom w:val="single" w:sz="4" w:space="0" w:color="auto"/>
            </w:tcBorders>
          </w:tcPr>
          <w:p w:rsidR="00610360" w:rsidRPr="00610DB7" w:rsidRDefault="004925DA" w:rsidP="00463B67">
            <w:pPr>
              <w:pStyle w:val="ListParagraph"/>
              <w:numPr>
                <w:ilvl w:val="0"/>
                <w:numId w:val="27"/>
              </w:numPr>
              <w:rPr>
                <w:sz w:val="24"/>
                <w:szCs w:val="24"/>
                <w:lang w:val="en-GB"/>
              </w:rPr>
            </w:pPr>
            <w:r w:rsidRPr="00610DB7">
              <w:rPr>
                <w:sz w:val="24"/>
                <w:szCs w:val="24"/>
                <w:lang w:val="en-GB"/>
              </w:rPr>
              <w:t xml:space="preserve">At least four </w:t>
            </w:r>
            <w:r w:rsidR="00610360" w:rsidRPr="00610DB7">
              <w:rPr>
                <w:sz w:val="24"/>
                <w:szCs w:val="24"/>
                <w:lang w:val="en-GB"/>
              </w:rPr>
              <w:t>thematic studies to guide effective implementation of key strategic themes in Phase II.</w:t>
            </w:r>
          </w:p>
        </w:tc>
      </w:tr>
      <w:tr w:rsidR="00610DB7" w:rsidRPr="00610DB7" w:rsidTr="00610360">
        <w:tc>
          <w:tcPr>
            <w:tcW w:w="3941" w:type="dxa"/>
            <w:shd w:val="clear" w:color="auto" w:fill="C2D69B"/>
          </w:tcPr>
          <w:p w:rsidR="00610360" w:rsidRPr="00610DB7" w:rsidRDefault="00610360" w:rsidP="00463B67">
            <w:pPr>
              <w:rPr>
                <w:sz w:val="24"/>
                <w:szCs w:val="24"/>
                <w:lang w:val="en-GB"/>
              </w:rPr>
            </w:pPr>
            <w:r w:rsidRPr="00610DB7">
              <w:rPr>
                <w:sz w:val="24"/>
                <w:szCs w:val="24"/>
                <w:lang w:val="en-GB"/>
              </w:rPr>
              <w:t xml:space="preserve">4.0 Feasibility missions </w:t>
            </w:r>
          </w:p>
        </w:tc>
        <w:tc>
          <w:tcPr>
            <w:tcW w:w="661" w:type="dxa"/>
            <w:shd w:val="clear" w:color="auto" w:fill="C2D69B"/>
            <w:vAlign w:val="center"/>
          </w:tcPr>
          <w:p w:rsidR="00610360" w:rsidRPr="00610DB7" w:rsidRDefault="00610360" w:rsidP="00BD53DB">
            <w:pPr>
              <w:rPr>
                <w:sz w:val="24"/>
                <w:szCs w:val="24"/>
                <w:lang w:val="en-GB"/>
              </w:rPr>
            </w:pPr>
          </w:p>
        </w:tc>
        <w:tc>
          <w:tcPr>
            <w:tcW w:w="630" w:type="dxa"/>
            <w:shd w:val="clear" w:color="auto" w:fill="C2D69B"/>
            <w:vAlign w:val="center"/>
          </w:tcPr>
          <w:p w:rsidR="00610360" w:rsidRPr="00610DB7" w:rsidRDefault="00610360" w:rsidP="00BD53DB">
            <w:pPr>
              <w:rPr>
                <w:sz w:val="24"/>
                <w:szCs w:val="24"/>
                <w:lang w:val="en-GB"/>
              </w:rPr>
            </w:pPr>
          </w:p>
        </w:tc>
        <w:tc>
          <w:tcPr>
            <w:tcW w:w="720" w:type="dxa"/>
            <w:shd w:val="clear" w:color="auto" w:fill="C2D69B"/>
            <w:vAlign w:val="center"/>
          </w:tcPr>
          <w:p w:rsidR="00610360" w:rsidRPr="00610DB7" w:rsidRDefault="00610360" w:rsidP="00BD53DB">
            <w:pPr>
              <w:rPr>
                <w:sz w:val="24"/>
                <w:szCs w:val="24"/>
                <w:lang w:val="en-GB"/>
              </w:rPr>
            </w:pPr>
          </w:p>
        </w:tc>
        <w:tc>
          <w:tcPr>
            <w:tcW w:w="5420" w:type="dxa"/>
            <w:shd w:val="clear" w:color="auto" w:fill="C2D69B"/>
          </w:tcPr>
          <w:p w:rsidR="00610360" w:rsidRPr="00610DB7" w:rsidRDefault="00610360" w:rsidP="00463B67">
            <w:pPr>
              <w:pStyle w:val="ListParagraph"/>
              <w:rPr>
                <w:sz w:val="24"/>
                <w:szCs w:val="24"/>
                <w:lang w:val="en-GB"/>
              </w:rPr>
            </w:pPr>
          </w:p>
        </w:tc>
      </w:tr>
      <w:tr w:rsidR="00610DB7" w:rsidRPr="00610DB7" w:rsidTr="00610360">
        <w:tc>
          <w:tcPr>
            <w:tcW w:w="3941" w:type="dxa"/>
          </w:tcPr>
          <w:p w:rsidR="00610360" w:rsidRPr="00610DB7" w:rsidRDefault="00610360" w:rsidP="00610360">
            <w:pPr>
              <w:ind w:left="360"/>
              <w:rPr>
                <w:sz w:val="24"/>
                <w:szCs w:val="24"/>
                <w:lang w:val="en-GB"/>
              </w:rPr>
            </w:pPr>
            <w:r w:rsidRPr="00610DB7">
              <w:rPr>
                <w:sz w:val="24"/>
                <w:szCs w:val="24"/>
                <w:lang w:val="en-GB"/>
              </w:rPr>
              <w:t xml:space="preserve">4.1 In-country scoping and </w:t>
            </w:r>
            <w:r w:rsidR="00FF6056" w:rsidRPr="00610DB7">
              <w:rPr>
                <w:sz w:val="24"/>
                <w:szCs w:val="24"/>
                <w:lang w:val="en-GB"/>
              </w:rPr>
              <w:t>capacity assessments</w:t>
            </w:r>
            <w:r w:rsidRPr="00610DB7">
              <w:rPr>
                <w:sz w:val="24"/>
                <w:szCs w:val="24"/>
                <w:lang w:val="en-GB"/>
              </w:rPr>
              <w:t xml:space="preserve"> carried out in selected countries.</w:t>
            </w:r>
          </w:p>
        </w:tc>
        <w:tc>
          <w:tcPr>
            <w:tcW w:w="661" w:type="dxa"/>
            <w:vAlign w:val="center"/>
          </w:tcPr>
          <w:p w:rsidR="00610360" w:rsidRPr="00610DB7" w:rsidRDefault="00610360" w:rsidP="00BD53DB">
            <w:pPr>
              <w:rPr>
                <w:sz w:val="24"/>
                <w:szCs w:val="24"/>
                <w:lang w:val="en-GB"/>
              </w:rPr>
            </w:pPr>
            <w:r w:rsidRPr="00610DB7">
              <w:rPr>
                <w:sz w:val="24"/>
                <w:szCs w:val="24"/>
                <w:lang w:val="en-GB"/>
              </w:rPr>
              <w:t>x</w:t>
            </w:r>
          </w:p>
        </w:tc>
        <w:tc>
          <w:tcPr>
            <w:tcW w:w="630" w:type="dxa"/>
            <w:vAlign w:val="center"/>
          </w:tcPr>
          <w:p w:rsidR="00610360" w:rsidRPr="00610DB7" w:rsidRDefault="00610360" w:rsidP="00BD53DB">
            <w:pPr>
              <w:rPr>
                <w:sz w:val="24"/>
                <w:szCs w:val="24"/>
                <w:lang w:val="en-GB"/>
              </w:rPr>
            </w:pPr>
            <w:r w:rsidRPr="00610DB7">
              <w:rPr>
                <w:sz w:val="24"/>
                <w:szCs w:val="24"/>
                <w:lang w:val="en-GB"/>
              </w:rPr>
              <w:t>x</w:t>
            </w:r>
          </w:p>
        </w:tc>
        <w:tc>
          <w:tcPr>
            <w:tcW w:w="720" w:type="dxa"/>
            <w:vAlign w:val="center"/>
          </w:tcPr>
          <w:p w:rsidR="00610360" w:rsidRPr="00610DB7" w:rsidRDefault="00610360" w:rsidP="00BD53DB">
            <w:pPr>
              <w:rPr>
                <w:sz w:val="24"/>
                <w:szCs w:val="24"/>
                <w:lang w:val="en-GB"/>
              </w:rPr>
            </w:pPr>
          </w:p>
        </w:tc>
        <w:tc>
          <w:tcPr>
            <w:tcW w:w="5420" w:type="dxa"/>
          </w:tcPr>
          <w:p w:rsidR="00610360" w:rsidRPr="00610DB7" w:rsidRDefault="00610360" w:rsidP="00463B67">
            <w:pPr>
              <w:pStyle w:val="ListParagraph"/>
              <w:numPr>
                <w:ilvl w:val="0"/>
                <w:numId w:val="27"/>
              </w:numPr>
              <w:rPr>
                <w:sz w:val="24"/>
                <w:szCs w:val="24"/>
                <w:lang w:val="en-GB"/>
              </w:rPr>
            </w:pPr>
            <w:r w:rsidRPr="00610DB7">
              <w:rPr>
                <w:sz w:val="24"/>
                <w:szCs w:val="24"/>
                <w:lang w:val="en-GB"/>
              </w:rPr>
              <w:t>In country scoping studies and capacity development assessments of potential partner FFPOs in up to 6 countries</w:t>
            </w:r>
          </w:p>
        </w:tc>
      </w:tr>
    </w:tbl>
    <w:p w:rsidR="002E065C" w:rsidRPr="00610DB7" w:rsidRDefault="002E065C" w:rsidP="00DE2AA5">
      <w:pPr>
        <w:rPr>
          <w:sz w:val="24"/>
          <w:szCs w:val="24"/>
        </w:rPr>
      </w:pPr>
    </w:p>
    <w:p w:rsidR="00F93E9F" w:rsidRPr="00610DB7" w:rsidRDefault="00F93E9F" w:rsidP="00DE2AA5">
      <w:pPr>
        <w:rPr>
          <w:sz w:val="24"/>
          <w:szCs w:val="24"/>
        </w:rPr>
      </w:pPr>
    </w:p>
    <w:p w:rsidR="002E065C" w:rsidRPr="00610DB7" w:rsidRDefault="002E065C" w:rsidP="00DE2AA5">
      <w:pPr>
        <w:rPr>
          <w:sz w:val="24"/>
          <w:szCs w:val="24"/>
        </w:rPr>
      </w:pPr>
    </w:p>
    <w:sectPr w:rsidR="002E065C" w:rsidRPr="00610DB7" w:rsidSect="00BD53D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E6756"/>
    <w:multiLevelType w:val="multilevel"/>
    <w:tmpl w:val="44F26004"/>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0287B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B373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5C5344"/>
    <w:multiLevelType w:val="hybridMultilevel"/>
    <w:tmpl w:val="AF68D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D448B"/>
    <w:multiLevelType w:val="multilevel"/>
    <w:tmpl w:val="168EC7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596BB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4D1114"/>
    <w:multiLevelType w:val="multilevel"/>
    <w:tmpl w:val="99C2423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B30B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E02F33"/>
    <w:multiLevelType w:val="hybridMultilevel"/>
    <w:tmpl w:val="FE70A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F16D6B"/>
    <w:multiLevelType w:val="hybridMultilevel"/>
    <w:tmpl w:val="9EC68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646113"/>
    <w:multiLevelType w:val="hybridMultilevel"/>
    <w:tmpl w:val="D826B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A54BD"/>
    <w:multiLevelType w:val="multilevel"/>
    <w:tmpl w:val="9AE00C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53308B"/>
    <w:multiLevelType w:val="hybridMultilevel"/>
    <w:tmpl w:val="A2DEC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7381D64"/>
    <w:multiLevelType w:val="hybridMultilevel"/>
    <w:tmpl w:val="5B30AC54"/>
    <w:lvl w:ilvl="0" w:tplc="1930B844">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5EFC5DF8">
      <w:start w:val="2"/>
      <w:numFmt w:val="decimal"/>
      <w:lvlText w:val="%3"/>
      <w:lvlJc w:val="left"/>
      <w:pPr>
        <w:ind w:left="2340" w:hanging="360"/>
      </w:pPr>
      <w:rPr>
        <w:rFonts w:hint="default"/>
      </w:rPr>
    </w:lvl>
    <w:lvl w:ilvl="3" w:tplc="98F0D0A4">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5F55C0"/>
    <w:multiLevelType w:val="hybridMultilevel"/>
    <w:tmpl w:val="E3C8F358"/>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3B1AA3"/>
    <w:multiLevelType w:val="multilevel"/>
    <w:tmpl w:val="9AE00C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222CB8"/>
    <w:multiLevelType w:val="hybridMultilevel"/>
    <w:tmpl w:val="F1B43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571EA3"/>
    <w:multiLevelType w:val="hybridMultilevel"/>
    <w:tmpl w:val="7C8CA1E4"/>
    <w:lvl w:ilvl="0" w:tplc="1930B84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4D77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112773"/>
    <w:multiLevelType w:val="hybridMultilevel"/>
    <w:tmpl w:val="422888A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7D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B4620D"/>
    <w:multiLevelType w:val="hybridMultilevel"/>
    <w:tmpl w:val="B3901EDE"/>
    <w:lvl w:ilvl="0" w:tplc="1930B844">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5EFC5DF8">
      <w:start w:val="2"/>
      <w:numFmt w:val="decimal"/>
      <w:lvlText w:val="%3"/>
      <w:lvlJc w:val="left"/>
      <w:pPr>
        <w:ind w:left="2340" w:hanging="360"/>
      </w:pPr>
      <w:rPr>
        <w:rFonts w:hint="default"/>
      </w:rPr>
    </w:lvl>
    <w:lvl w:ilvl="3" w:tplc="98F0D0A4">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B1E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DE5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203004"/>
    <w:multiLevelType w:val="hybridMultilevel"/>
    <w:tmpl w:val="CF545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7F5159"/>
    <w:multiLevelType w:val="hybridMultilevel"/>
    <w:tmpl w:val="39B644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326C63"/>
    <w:multiLevelType w:val="multilevel"/>
    <w:tmpl w:val="E5883BF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A3948"/>
    <w:multiLevelType w:val="multilevel"/>
    <w:tmpl w:val="168EC7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FD1946"/>
    <w:multiLevelType w:val="hybridMultilevel"/>
    <w:tmpl w:val="81C25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7D2F86"/>
    <w:multiLevelType w:val="multilevel"/>
    <w:tmpl w:val="ADD2D6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7"/>
  </w:num>
  <w:num w:numId="4">
    <w:abstractNumId w:val="28"/>
  </w:num>
  <w:num w:numId="5">
    <w:abstractNumId w:val="29"/>
  </w:num>
  <w:num w:numId="6">
    <w:abstractNumId w:val="16"/>
  </w:num>
  <w:num w:numId="7">
    <w:abstractNumId w:val="0"/>
  </w:num>
  <w:num w:numId="8">
    <w:abstractNumId w:val="3"/>
  </w:num>
  <w:num w:numId="9">
    <w:abstractNumId w:val="24"/>
  </w:num>
  <w:num w:numId="10">
    <w:abstractNumId w:val="21"/>
  </w:num>
  <w:num w:numId="11">
    <w:abstractNumId w:val="13"/>
  </w:num>
  <w:num w:numId="12">
    <w:abstractNumId w:val="25"/>
  </w:num>
  <w:num w:numId="13">
    <w:abstractNumId w:val="10"/>
  </w:num>
  <w:num w:numId="14">
    <w:abstractNumId w:val="15"/>
  </w:num>
  <w:num w:numId="15">
    <w:abstractNumId w:val="7"/>
  </w:num>
  <w:num w:numId="16">
    <w:abstractNumId w:val="26"/>
  </w:num>
  <w:num w:numId="17">
    <w:abstractNumId w:val="20"/>
  </w:num>
  <w:num w:numId="18">
    <w:abstractNumId w:val="11"/>
  </w:num>
  <w:num w:numId="19">
    <w:abstractNumId w:val="22"/>
  </w:num>
  <w:num w:numId="20">
    <w:abstractNumId w:val="2"/>
  </w:num>
  <w:num w:numId="21">
    <w:abstractNumId w:val="4"/>
  </w:num>
  <w:num w:numId="22">
    <w:abstractNumId w:val="27"/>
  </w:num>
  <w:num w:numId="23">
    <w:abstractNumId w:val="23"/>
  </w:num>
  <w:num w:numId="24">
    <w:abstractNumId w:val="18"/>
  </w:num>
  <w:num w:numId="25">
    <w:abstractNumId w:val="14"/>
  </w:num>
  <w:num w:numId="26">
    <w:abstractNumId w:val="6"/>
  </w:num>
  <w:num w:numId="27">
    <w:abstractNumId w:val="19"/>
  </w:num>
  <w:num w:numId="28">
    <w:abstractNumId w:val="8"/>
  </w:num>
  <w:num w:numId="29">
    <w:abstractNumId w:val="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C2E"/>
    <w:rsid w:val="00021117"/>
    <w:rsid w:val="00053C90"/>
    <w:rsid w:val="000D209F"/>
    <w:rsid w:val="000D60E2"/>
    <w:rsid w:val="0011061D"/>
    <w:rsid w:val="00143B8C"/>
    <w:rsid w:val="0016211A"/>
    <w:rsid w:val="00192801"/>
    <w:rsid w:val="001E30EB"/>
    <w:rsid w:val="002243F2"/>
    <w:rsid w:val="00234C83"/>
    <w:rsid w:val="00247F4F"/>
    <w:rsid w:val="002852F2"/>
    <w:rsid w:val="00286A69"/>
    <w:rsid w:val="002A5541"/>
    <w:rsid w:val="002E065C"/>
    <w:rsid w:val="002F2344"/>
    <w:rsid w:val="003477A1"/>
    <w:rsid w:val="00355E74"/>
    <w:rsid w:val="00390DAE"/>
    <w:rsid w:val="00463B67"/>
    <w:rsid w:val="004925DA"/>
    <w:rsid w:val="00553349"/>
    <w:rsid w:val="0057634D"/>
    <w:rsid w:val="00590B34"/>
    <w:rsid w:val="00593278"/>
    <w:rsid w:val="00610360"/>
    <w:rsid w:val="00610DB7"/>
    <w:rsid w:val="00636A34"/>
    <w:rsid w:val="006D211D"/>
    <w:rsid w:val="0071128D"/>
    <w:rsid w:val="00742F55"/>
    <w:rsid w:val="00745DA8"/>
    <w:rsid w:val="00795A67"/>
    <w:rsid w:val="007C3359"/>
    <w:rsid w:val="007D335D"/>
    <w:rsid w:val="007E75AE"/>
    <w:rsid w:val="008034A5"/>
    <w:rsid w:val="00813CE8"/>
    <w:rsid w:val="00860676"/>
    <w:rsid w:val="00861B05"/>
    <w:rsid w:val="00942881"/>
    <w:rsid w:val="009429D7"/>
    <w:rsid w:val="009430E7"/>
    <w:rsid w:val="009474D3"/>
    <w:rsid w:val="009579BB"/>
    <w:rsid w:val="00990BE6"/>
    <w:rsid w:val="00995CA3"/>
    <w:rsid w:val="009B7551"/>
    <w:rsid w:val="00A15C2E"/>
    <w:rsid w:val="00A34DB7"/>
    <w:rsid w:val="00A41A9F"/>
    <w:rsid w:val="00AC4088"/>
    <w:rsid w:val="00AD23E8"/>
    <w:rsid w:val="00B052FB"/>
    <w:rsid w:val="00B36E37"/>
    <w:rsid w:val="00B47DB8"/>
    <w:rsid w:val="00B906A6"/>
    <w:rsid w:val="00B924BD"/>
    <w:rsid w:val="00BD53DB"/>
    <w:rsid w:val="00BE224C"/>
    <w:rsid w:val="00BE575A"/>
    <w:rsid w:val="00C5078D"/>
    <w:rsid w:val="00CA03D3"/>
    <w:rsid w:val="00CB03EB"/>
    <w:rsid w:val="00CC768C"/>
    <w:rsid w:val="00CF4B10"/>
    <w:rsid w:val="00D072D2"/>
    <w:rsid w:val="00D20972"/>
    <w:rsid w:val="00D43E67"/>
    <w:rsid w:val="00D44914"/>
    <w:rsid w:val="00D764EF"/>
    <w:rsid w:val="00DD2F8A"/>
    <w:rsid w:val="00DE2AA5"/>
    <w:rsid w:val="00E22C58"/>
    <w:rsid w:val="00E27D6E"/>
    <w:rsid w:val="00E372E5"/>
    <w:rsid w:val="00E77A40"/>
    <w:rsid w:val="00E914CB"/>
    <w:rsid w:val="00E97054"/>
    <w:rsid w:val="00ED096D"/>
    <w:rsid w:val="00F06318"/>
    <w:rsid w:val="00F549EF"/>
    <w:rsid w:val="00F82100"/>
    <w:rsid w:val="00F93E9F"/>
    <w:rsid w:val="00FA4BDF"/>
    <w:rsid w:val="00FB58B1"/>
    <w:rsid w:val="00FE0356"/>
    <w:rsid w:val="00FE1933"/>
    <w:rsid w:val="00FF6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B3719A-4692-423F-80C1-87A808CC7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10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C2E"/>
    <w:pPr>
      <w:ind w:left="720"/>
    </w:pPr>
  </w:style>
  <w:style w:type="table" w:styleId="TableGrid">
    <w:name w:val="Table Grid"/>
    <w:basedOn w:val="TableNormal"/>
    <w:uiPriority w:val="39"/>
    <w:rsid w:val="00BE5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E2A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A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333784">
      <w:bodyDiv w:val="1"/>
      <w:marLeft w:val="0"/>
      <w:marRight w:val="0"/>
      <w:marTop w:val="0"/>
      <w:marBottom w:val="0"/>
      <w:divBdr>
        <w:top w:val="none" w:sz="0" w:space="0" w:color="auto"/>
        <w:left w:val="none" w:sz="0" w:space="0" w:color="auto"/>
        <w:bottom w:val="none" w:sz="0" w:space="0" w:color="auto"/>
        <w:right w:val="none" w:sz="0" w:space="0" w:color="auto"/>
      </w:divBdr>
    </w:div>
    <w:div w:id="390231636">
      <w:bodyDiv w:val="1"/>
      <w:marLeft w:val="0"/>
      <w:marRight w:val="0"/>
      <w:marTop w:val="0"/>
      <w:marBottom w:val="0"/>
      <w:divBdr>
        <w:top w:val="none" w:sz="0" w:space="0" w:color="auto"/>
        <w:left w:val="none" w:sz="0" w:space="0" w:color="auto"/>
        <w:bottom w:val="none" w:sz="0" w:space="0" w:color="auto"/>
        <w:right w:val="none" w:sz="0" w:space="0" w:color="auto"/>
      </w:divBdr>
    </w:div>
    <w:div w:id="694964356">
      <w:bodyDiv w:val="1"/>
      <w:marLeft w:val="0"/>
      <w:marRight w:val="0"/>
      <w:marTop w:val="0"/>
      <w:marBottom w:val="0"/>
      <w:divBdr>
        <w:top w:val="none" w:sz="0" w:space="0" w:color="auto"/>
        <w:left w:val="none" w:sz="0" w:space="0" w:color="auto"/>
        <w:bottom w:val="none" w:sz="0" w:space="0" w:color="auto"/>
        <w:right w:val="none" w:sz="0" w:space="0" w:color="auto"/>
      </w:divBdr>
    </w:div>
    <w:div w:id="787357321">
      <w:bodyDiv w:val="1"/>
      <w:marLeft w:val="0"/>
      <w:marRight w:val="0"/>
      <w:marTop w:val="0"/>
      <w:marBottom w:val="0"/>
      <w:divBdr>
        <w:top w:val="none" w:sz="0" w:space="0" w:color="auto"/>
        <w:left w:val="none" w:sz="0" w:space="0" w:color="auto"/>
        <w:bottom w:val="none" w:sz="0" w:space="0" w:color="auto"/>
        <w:right w:val="none" w:sz="0" w:space="0" w:color="auto"/>
      </w:divBdr>
    </w:div>
    <w:div w:id="1073166181">
      <w:bodyDiv w:val="1"/>
      <w:marLeft w:val="0"/>
      <w:marRight w:val="0"/>
      <w:marTop w:val="0"/>
      <w:marBottom w:val="0"/>
      <w:divBdr>
        <w:top w:val="none" w:sz="0" w:space="0" w:color="auto"/>
        <w:left w:val="none" w:sz="0" w:space="0" w:color="auto"/>
        <w:bottom w:val="none" w:sz="0" w:space="0" w:color="auto"/>
        <w:right w:val="none" w:sz="0" w:space="0" w:color="auto"/>
      </w:divBdr>
    </w:div>
    <w:div w:id="1530219755">
      <w:bodyDiv w:val="1"/>
      <w:marLeft w:val="0"/>
      <w:marRight w:val="0"/>
      <w:marTop w:val="0"/>
      <w:marBottom w:val="0"/>
      <w:divBdr>
        <w:top w:val="none" w:sz="0" w:space="0" w:color="auto"/>
        <w:left w:val="none" w:sz="0" w:space="0" w:color="auto"/>
        <w:bottom w:val="none" w:sz="0" w:space="0" w:color="auto"/>
        <w:right w:val="none" w:sz="0" w:space="0" w:color="auto"/>
      </w:divBdr>
    </w:div>
    <w:div w:id="1723865142">
      <w:bodyDiv w:val="1"/>
      <w:marLeft w:val="0"/>
      <w:marRight w:val="0"/>
      <w:marTop w:val="0"/>
      <w:marBottom w:val="0"/>
      <w:divBdr>
        <w:top w:val="none" w:sz="0" w:space="0" w:color="auto"/>
        <w:left w:val="none" w:sz="0" w:space="0" w:color="auto"/>
        <w:bottom w:val="none" w:sz="0" w:space="0" w:color="auto"/>
        <w:right w:val="none" w:sz="0" w:space="0" w:color="auto"/>
      </w:divBdr>
    </w:div>
    <w:div w:id="1734961531">
      <w:bodyDiv w:val="1"/>
      <w:marLeft w:val="0"/>
      <w:marRight w:val="0"/>
      <w:marTop w:val="0"/>
      <w:marBottom w:val="0"/>
      <w:divBdr>
        <w:top w:val="none" w:sz="0" w:space="0" w:color="auto"/>
        <w:left w:val="none" w:sz="0" w:space="0" w:color="auto"/>
        <w:bottom w:val="none" w:sz="0" w:space="0" w:color="auto"/>
        <w:right w:val="none" w:sz="0" w:space="0" w:color="auto"/>
      </w:divBdr>
    </w:div>
    <w:div w:id="1915703177">
      <w:bodyDiv w:val="1"/>
      <w:marLeft w:val="0"/>
      <w:marRight w:val="0"/>
      <w:marTop w:val="0"/>
      <w:marBottom w:val="0"/>
      <w:divBdr>
        <w:top w:val="none" w:sz="0" w:space="0" w:color="auto"/>
        <w:left w:val="none" w:sz="0" w:space="0" w:color="auto"/>
        <w:bottom w:val="none" w:sz="0" w:space="0" w:color="auto"/>
        <w:right w:val="none" w:sz="0" w:space="0" w:color="auto"/>
      </w:divBdr>
    </w:div>
    <w:div w:id="21354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1717</Words>
  <Characters>9792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Jeffrey (FOA)</dc:creator>
  <cp:keywords/>
  <dc:description/>
  <cp:lastModifiedBy>Campbell, Jeffrey (FOA)</cp:lastModifiedBy>
  <cp:revision>2</cp:revision>
  <cp:lastPrinted>2017-10-16T09:03:00Z</cp:lastPrinted>
  <dcterms:created xsi:type="dcterms:W3CDTF">2018-02-09T14:48:00Z</dcterms:created>
  <dcterms:modified xsi:type="dcterms:W3CDTF">2018-02-09T14:48:00Z</dcterms:modified>
</cp:coreProperties>
</file>