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4C7" w:rsidRDefault="008404C7" w:rsidP="008404C7">
      <w:pPr>
        <w:pStyle w:val="NoSpacing"/>
        <w:jc w:val="center"/>
        <w:rPr>
          <w:rFonts w:asciiTheme="minorHAnsi" w:hAnsiTheme="minorHAnsi" w:cstheme="minorHAnsi"/>
          <w:b/>
          <w:sz w:val="24"/>
          <w:szCs w:val="24"/>
        </w:rPr>
      </w:pPr>
      <w:r>
        <w:rPr>
          <w:rFonts w:asciiTheme="minorHAnsi" w:hAnsiTheme="minorHAnsi" w:cstheme="minorHAnsi"/>
          <w:b/>
          <w:sz w:val="24"/>
          <w:szCs w:val="24"/>
        </w:rPr>
        <w:t>MTF/ETH/100/BMG</w:t>
      </w:r>
    </w:p>
    <w:p w:rsidR="008D0A6D" w:rsidRPr="008404C7" w:rsidRDefault="00FA0A40" w:rsidP="008404C7">
      <w:pPr>
        <w:pStyle w:val="NoSpacing"/>
        <w:jc w:val="center"/>
        <w:rPr>
          <w:rFonts w:asciiTheme="minorHAnsi" w:hAnsiTheme="minorHAnsi" w:cstheme="minorHAnsi"/>
          <w:b/>
          <w:sz w:val="24"/>
          <w:szCs w:val="24"/>
        </w:rPr>
      </w:pPr>
      <w:r w:rsidRPr="00D67BB8">
        <w:rPr>
          <w:rFonts w:asciiTheme="minorHAnsi" w:hAnsiTheme="minorHAnsi" w:cstheme="minorHAnsi"/>
          <w:b/>
          <w:sz w:val="24"/>
          <w:szCs w:val="24"/>
          <w:highlight w:val="yellow"/>
        </w:rPr>
        <w:t>Rapid c</w:t>
      </w:r>
      <w:r w:rsidR="008D0A6D" w:rsidRPr="00D67BB8">
        <w:rPr>
          <w:rFonts w:asciiTheme="minorHAnsi" w:hAnsiTheme="minorHAnsi" w:cstheme="minorHAnsi"/>
          <w:b/>
          <w:sz w:val="24"/>
          <w:szCs w:val="24"/>
          <w:highlight w:val="yellow"/>
        </w:rPr>
        <w:t xml:space="preserve">apacity Assessment </w:t>
      </w:r>
      <w:r w:rsidR="008404C7" w:rsidRPr="00D67BB8">
        <w:rPr>
          <w:rFonts w:asciiTheme="minorHAnsi" w:hAnsiTheme="minorHAnsi" w:cstheme="minorHAnsi"/>
          <w:b/>
          <w:sz w:val="24"/>
          <w:szCs w:val="24"/>
          <w:highlight w:val="yellow"/>
        </w:rPr>
        <w:t>of laboratory facilities</w:t>
      </w:r>
      <w:r w:rsidRPr="00D67BB8">
        <w:rPr>
          <w:rFonts w:asciiTheme="minorHAnsi" w:hAnsiTheme="minorHAnsi" w:cstheme="minorHAnsi"/>
          <w:b/>
          <w:sz w:val="24"/>
          <w:szCs w:val="24"/>
          <w:highlight w:val="yellow"/>
        </w:rPr>
        <w:t xml:space="preserve"> – Terms of Reference</w:t>
      </w:r>
    </w:p>
    <w:p w:rsidR="008D0A6D" w:rsidRPr="008404C7" w:rsidRDefault="008D0A6D" w:rsidP="008D0A6D">
      <w:pPr>
        <w:pStyle w:val="NoSpacing"/>
        <w:jc w:val="both"/>
        <w:rPr>
          <w:rFonts w:asciiTheme="minorHAnsi" w:hAnsiTheme="minorHAnsi" w:cstheme="minorHAnsi"/>
          <w:sz w:val="24"/>
          <w:szCs w:val="24"/>
        </w:rPr>
      </w:pPr>
    </w:p>
    <w:p w:rsidR="004F2787" w:rsidRPr="004F2787" w:rsidRDefault="004F2787" w:rsidP="008D0A6D">
      <w:pPr>
        <w:pStyle w:val="NoSpacing"/>
        <w:jc w:val="both"/>
        <w:rPr>
          <w:rFonts w:asciiTheme="minorHAnsi" w:hAnsiTheme="minorHAnsi" w:cstheme="minorHAnsi"/>
          <w:b/>
          <w:sz w:val="24"/>
          <w:szCs w:val="24"/>
        </w:rPr>
      </w:pPr>
      <w:r w:rsidRPr="004F2787">
        <w:rPr>
          <w:rFonts w:asciiTheme="minorHAnsi" w:hAnsiTheme="minorHAnsi" w:cstheme="minorHAnsi"/>
          <w:b/>
          <w:sz w:val="24"/>
          <w:szCs w:val="24"/>
        </w:rPr>
        <w:t>Background</w:t>
      </w:r>
      <w:r>
        <w:rPr>
          <w:rFonts w:asciiTheme="minorHAnsi" w:hAnsiTheme="minorHAnsi" w:cstheme="minorHAnsi"/>
          <w:b/>
          <w:sz w:val="24"/>
          <w:szCs w:val="24"/>
        </w:rPr>
        <w:t xml:space="preserve"> &amp; justification</w:t>
      </w:r>
    </w:p>
    <w:p w:rsidR="003413D3" w:rsidRDefault="00816C0A" w:rsidP="008D0A6D">
      <w:pPr>
        <w:pStyle w:val="NoSpacing"/>
        <w:jc w:val="both"/>
        <w:rPr>
          <w:rFonts w:asciiTheme="minorHAnsi" w:hAnsiTheme="minorHAnsi" w:cstheme="minorHAnsi"/>
          <w:sz w:val="24"/>
          <w:szCs w:val="24"/>
        </w:rPr>
      </w:pPr>
      <w:r>
        <w:rPr>
          <w:rFonts w:asciiTheme="minorHAnsi" w:hAnsiTheme="minorHAnsi" w:cstheme="minorHAnsi"/>
          <w:sz w:val="24"/>
          <w:szCs w:val="24"/>
        </w:rPr>
        <w:t>In Ethiopia, the current food composition table (FCT)</w:t>
      </w:r>
      <w:r w:rsidR="00FA0A40">
        <w:rPr>
          <w:rFonts w:asciiTheme="minorHAnsi" w:hAnsiTheme="minorHAnsi" w:cstheme="minorHAnsi"/>
          <w:sz w:val="24"/>
          <w:szCs w:val="24"/>
        </w:rPr>
        <w:t xml:space="preserve"> is outdated, limiting the ability for the Ministries of Health, Agriculture and Livestock along with agriculture, nutrition, private sector and other development partners from adequately understanding what Ethiopians are eating, the quality of food being consumed, and most importantly, how to guide policy and </w:t>
      </w:r>
      <w:r w:rsidR="00D67BB8">
        <w:rPr>
          <w:rFonts w:asciiTheme="minorHAnsi" w:hAnsiTheme="minorHAnsi" w:cstheme="minorHAnsi"/>
          <w:sz w:val="24"/>
          <w:szCs w:val="24"/>
        </w:rPr>
        <w:t>programs</w:t>
      </w:r>
      <w:r w:rsidR="00FA0A40">
        <w:rPr>
          <w:rFonts w:asciiTheme="minorHAnsi" w:hAnsiTheme="minorHAnsi" w:cstheme="minorHAnsi"/>
          <w:sz w:val="24"/>
          <w:szCs w:val="24"/>
        </w:rPr>
        <w:t xml:space="preserve"> on better diets for human health and nutrition. The rapid capacity assessment of laboratory facilities</w:t>
      </w:r>
      <w:r w:rsidR="003413D3">
        <w:rPr>
          <w:rFonts w:asciiTheme="minorHAnsi" w:hAnsiTheme="minorHAnsi" w:cstheme="minorHAnsi"/>
          <w:sz w:val="24"/>
          <w:szCs w:val="24"/>
        </w:rPr>
        <w:t xml:space="preserve"> is meant to evaluate the capacities in country (not only in EPHI premises) for food and nutrient analyses in order to update the FCT with relevant and accurate data, to be able to get the latest state of the art science on food composition. The exercise </w:t>
      </w:r>
      <w:r w:rsidR="00541BBB">
        <w:rPr>
          <w:rFonts w:asciiTheme="minorHAnsi" w:hAnsiTheme="minorHAnsi" w:cstheme="minorHAnsi"/>
          <w:sz w:val="24"/>
          <w:szCs w:val="24"/>
        </w:rPr>
        <w:t xml:space="preserve">is independent and </w:t>
      </w:r>
      <w:r w:rsidR="003413D3">
        <w:rPr>
          <w:rFonts w:asciiTheme="minorHAnsi" w:hAnsiTheme="minorHAnsi" w:cstheme="minorHAnsi"/>
          <w:sz w:val="24"/>
          <w:szCs w:val="24"/>
        </w:rPr>
        <w:t>will use a combination of desk review, laboratory visits, interviews of relevant stakeholders</w:t>
      </w:r>
      <w:r w:rsidR="00541BBB">
        <w:rPr>
          <w:rFonts w:asciiTheme="minorHAnsi" w:hAnsiTheme="minorHAnsi" w:cstheme="minorHAnsi"/>
          <w:sz w:val="24"/>
          <w:szCs w:val="24"/>
        </w:rPr>
        <w:t xml:space="preserve"> (laboratory personnel, private sector, universities, </w:t>
      </w:r>
      <w:r w:rsidR="002B29CA">
        <w:rPr>
          <w:rFonts w:asciiTheme="minorHAnsi" w:hAnsiTheme="minorHAnsi" w:cstheme="minorHAnsi"/>
          <w:sz w:val="24"/>
          <w:szCs w:val="24"/>
        </w:rPr>
        <w:t>and international</w:t>
      </w:r>
      <w:r w:rsidR="00541BBB">
        <w:rPr>
          <w:rFonts w:asciiTheme="minorHAnsi" w:hAnsiTheme="minorHAnsi" w:cstheme="minorHAnsi"/>
          <w:sz w:val="24"/>
          <w:szCs w:val="24"/>
        </w:rPr>
        <w:t xml:space="preserve"> partners)</w:t>
      </w:r>
      <w:r w:rsidR="003413D3">
        <w:rPr>
          <w:rFonts w:asciiTheme="minorHAnsi" w:hAnsiTheme="minorHAnsi" w:cstheme="minorHAnsi"/>
          <w:sz w:val="24"/>
          <w:szCs w:val="24"/>
        </w:rPr>
        <w:t>, evaluations with FAO capacity assessment tools and checklists, interviews</w:t>
      </w:r>
    </w:p>
    <w:p w:rsidR="003413D3" w:rsidRDefault="003413D3" w:rsidP="008D0A6D">
      <w:pPr>
        <w:pStyle w:val="NoSpacing"/>
        <w:jc w:val="both"/>
        <w:rPr>
          <w:rFonts w:asciiTheme="minorHAnsi" w:hAnsiTheme="minorHAnsi" w:cstheme="minorHAnsi"/>
          <w:sz w:val="24"/>
          <w:szCs w:val="24"/>
        </w:rPr>
      </w:pPr>
    </w:p>
    <w:p w:rsidR="004F2787" w:rsidRPr="004F2787" w:rsidRDefault="004F2787" w:rsidP="008D0A6D">
      <w:pPr>
        <w:pStyle w:val="NoSpacing"/>
        <w:jc w:val="both"/>
        <w:rPr>
          <w:rFonts w:asciiTheme="minorHAnsi" w:hAnsiTheme="minorHAnsi" w:cstheme="minorHAnsi"/>
          <w:b/>
          <w:sz w:val="24"/>
          <w:szCs w:val="24"/>
        </w:rPr>
      </w:pPr>
      <w:r w:rsidRPr="004F2787">
        <w:rPr>
          <w:rFonts w:asciiTheme="minorHAnsi" w:hAnsiTheme="minorHAnsi" w:cstheme="minorHAnsi"/>
          <w:b/>
          <w:sz w:val="24"/>
          <w:szCs w:val="24"/>
        </w:rPr>
        <w:t>Objective</w:t>
      </w:r>
    </w:p>
    <w:p w:rsidR="00B17CE9" w:rsidRDefault="003413D3" w:rsidP="008D0A6D">
      <w:pPr>
        <w:pStyle w:val="NoSpacing"/>
        <w:jc w:val="both"/>
        <w:rPr>
          <w:rFonts w:asciiTheme="minorHAnsi" w:hAnsiTheme="minorHAnsi" w:cstheme="minorHAnsi"/>
          <w:sz w:val="24"/>
          <w:szCs w:val="24"/>
        </w:rPr>
      </w:pPr>
      <w:r>
        <w:rPr>
          <w:rFonts w:asciiTheme="minorHAnsi" w:hAnsiTheme="minorHAnsi" w:cstheme="minorHAnsi"/>
          <w:sz w:val="24"/>
          <w:szCs w:val="24"/>
        </w:rPr>
        <w:t xml:space="preserve">The </w:t>
      </w:r>
      <w:r w:rsidRPr="003413D3">
        <w:rPr>
          <w:rFonts w:asciiTheme="minorHAnsi" w:hAnsiTheme="minorHAnsi" w:cstheme="minorHAnsi"/>
          <w:b/>
          <w:sz w:val="24"/>
          <w:szCs w:val="24"/>
        </w:rPr>
        <w:t>objective</w:t>
      </w:r>
      <w:r>
        <w:rPr>
          <w:rFonts w:asciiTheme="minorHAnsi" w:hAnsiTheme="minorHAnsi" w:cstheme="minorHAnsi"/>
          <w:sz w:val="24"/>
          <w:szCs w:val="24"/>
        </w:rPr>
        <w:t xml:space="preserve"> of the RCA will be to identify (</w:t>
      </w:r>
      <w:proofErr w:type="spellStart"/>
      <w:r>
        <w:rPr>
          <w:rFonts w:asciiTheme="minorHAnsi" w:hAnsiTheme="minorHAnsi" w:cstheme="minorHAnsi"/>
          <w:sz w:val="24"/>
          <w:szCs w:val="24"/>
        </w:rPr>
        <w:t>i</w:t>
      </w:r>
      <w:proofErr w:type="spellEnd"/>
      <w:r>
        <w:rPr>
          <w:rFonts w:asciiTheme="minorHAnsi" w:hAnsiTheme="minorHAnsi" w:cstheme="minorHAnsi"/>
          <w:sz w:val="24"/>
          <w:szCs w:val="24"/>
        </w:rPr>
        <w:t>) the capacities in country to undertake the spectrum of necessary analyses for the FCT update and (ii) the gaps</w:t>
      </w:r>
      <w:r w:rsidR="00541BBB">
        <w:rPr>
          <w:rFonts w:asciiTheme="minorHAnsi" w:hAnsiTheme="minorHAnsi" w:cstheme="minorHAnsi"/>
          <w:sz w:val="24"/>
          <w:szCs w:val="24"/>
        </w:rPr>
        <w:t xml:space="preserve"> and needs</w:t>
      </w:r>
      <w:r>
        <w:rPr>
          <w:rFonts w:asciiTheme="minorHAnsi" w:hAnsiTheme="minorHAnsi" w:cstheme="minorHAnsi"/>
          <w:sz w:val="24"/>
          <w:szCs w:val="24"/>
        </w:rPr>
        <w:t xml:space="preserve"> in order to justify eventual outsourcing of analyses by an external </w:t>
      </w:r>
      <w:r w:rsidR="00541BBB">
        <w:rPr>
          <w:rFonts w:asciiTheme="minorHAnsi" w:hAnsiTheme="minorHAnsi" w:cstheme="minorHAnsi"/>
          <w:sz w:val="24"/>
          <w:szCs w:val="24"/>
        </w:rPr>
        <w:t>partner, up to a certain level, on the first hand, and to inform future capacity development initiatives, on the second hand.</w:t>
      </w:r>
    </w:p>
    <w:p w:rsidR="004F2787" w:rsidRDefault="004F2787" w:rsidP="008D0A6D">
      <w:pPr>
        <w:pStyle w:val="NoSpacing"/>
        <w:jc w:val="both"/>
        <w:rPr>
          <w:rFonts w:asciiTheme="minorHAnsi" w:hAnsiTheme="minorHAnsi" w:cstheme="minorHAnsi"/>
          <w:sz w:val="24"/>
          <w:szCs w:val="24"/>
        </w:rPr>
      </w:pPr>
    </w:p>
    <w:p w:rsidR="004F2787" w:rsidRPr="003D235A" w:rsidRDefault="004F2787" w:rsidP="004F2787">
      <w:pPr>
        <w:pStyle w:val="NoSpacing"/>
        <w:jc w:val="both"/>
        <w:rPr>
          <w:rFonts w:asciiTheme="minorHAnsi" w:hAnsiTheme="minorHAnsi" w:cstheme="minorHAnsi"/>
          <w:b/>
          <w:sz w:val="24"/>
          <w:szCs w:val="24"/>
        </w:rPr>
      </w:pPr>
      <w:r>
        <w:rPr>
          <w:rFonts w:asciiTheme="minorHAnsi" w:hAnsiTheme="minorHAnsi" w:cstheme="minorHAnsi"/>
          <w:b/>
          <w:sz w:val="24"/>
          <w:szCs w:val="24"/>
        </w:rPr>
        <w:t>Outputs &amp; activities</w:t>
      </w:r>
    </w:p>
    <w:p w:rsidR="002B29CA" w:rsidRDefault="004F2787" w:rsidP="004F2787">
      <w:pPr>
        <w:pStyle w:val="NoSpacing"/>
        <w:jc w:val="both"/>
        <w:rPr>
          <w:rFonts w:asciiTheme="minorHAnsi" w:hAnsiTheme="minorHAnsi" w:cstheme="minorHAnsi"/>
          <w:sz w:val="24"/>
          <w:szCs w:val="24"/>
        </w:rPr>
      </w:pPr>
      <w:r>
        <w:rPr>
          <w:rFonts w:asciiTheme="minorHAnsi" w:hAnsiTheme="minorHAnsi" w:cstheme="minorHAnsi"/>
          <w:sz w:val="24"/>
          <w:szCs w:val="24"/>
        </w:rPr>
        <w:t xml:space="preserve">The </w:t>
      </w:r>
      <w:r w:rsidR="007E50C4">
        <w:rPr>
          <w:rFonts w:asciiTheme="minorHAnsi" w:hAnsiTheme="minorHAnsi" w:cstheme="minorHAnsi"/>
          <w:sz w:val="24"/>
          <w:szCs w:val="24"/>
        </w:rPr>
        <w:t xml:space="preserve">main output of the RCA will be </w:t>
      </w:r>
      <w:r w:rsidR="007E50C4" w:rsidRPr="007E50C4">
        <w:rPr>
          <w:rFonts w:asciiTheme="minorHAnsi" w:hAnsiTheme="minorHAnsi" w:cstheme="minorHAnsi"/>
          <w:sz w:val="24"/>
          <w:szCs w:val="24"/>
          <w:u w:val="single"/>
        </w:rPr>
        <w:t>a</w:t>
      </w:r>
      <w:r w:rsidRPr="007E50C4">
        <w:rPr>
          <w:rFonts w:asciiTheme="minorHAnsi" w:hAnsiTheme="minorHAnsi" w:cstheme="minorHAnsi"/>
          <w:sz w:val="24"/>
          <w:szCs w:val="24"/>
          <w:u w:val="single"/>
        </w:rPr>
        <w:t xml:space="preserve"> complete report</w:t>
      </w:r>
      <w:r>
        <w:rPr>
          <w:rFonts w:asciiTheme="minorHAnsi" w:hAnsiTheme="minorHAnsi" w:cstheme="minorHAnsi"/>
          <w:sz w:val="24"/>
          <w:szCs w:val="24"/>
        </w:rPr>
        <w:t xml:space="preserve"> </w:t>
      </w:r>
      <w:r w:rsidR="007E50C4">
        <w:rPr>
          <w:rFonts w:asciiTheme="minorHAnsi" w:hAnsiTheme="minorHAnsi" w:cstheme="minorHAnsi"/>
          <w:sz w:val="24"/>
          <w:szCs w:val="24"/>
        </w:rPr>
        <w:t>including:</w:t>
      </w:r>
    </w:p>
    <w:p w:rsidR="002B29CA" w:rsidRDefault="004F2787" w:rsidP="002B29CA">
      <w:pPr>
        <w:pStyle w:val="NoSpacing"/>
        <w:ind w:firstLine="720"/>
        <w:jc w:val="both"/>
        <w:rPr>
          <w:rFonts w:asciiTheme="minorHAnsi" w:hAnsiTheme="minorHAnsi" w:cstheme="minorHAnsi"/>
          <w:sz w:val="24"/>
          <w:szCs w:val="24"/>
        </w:rPr>
      </w:pPr>
      <w:r>
        <w:rPr>
          <w:rFonts w:asciiTheme="minorHAnsi" w:hAnsiTheme="minorHAnsi" w:cstheme="minorHAnsi"/>
          <w:sz w:val="24"/>
          <w:szCs w:val="24"/>
        </w:rPr>
        <w:t>(</w:t>
      </w:r>
      <w:proofErr w:type="spellStart"/>
      <w:r>
        <w:rPr>
          <w:rFonts w:asciiTheme="minorHAnsi" w:hAnsiTheme="minorHAnsi" w:cstheme="minorHAnsi"/>
          <w:sz w:val="24"/>
          <w:szCs w:val="24"/>
        </w:rPr>
        <w:t>i</w:t>
      </w:r>
      <w:proofErr w:type="spellEnd"/>
      <w:r>
        <w:rPr>
          <w:rFonts w:asciiTheme="minorHAnsi" w:hAnsiTheme="minorHAnsi" w:cstheme="minorHAnsi"/>
          <w:sz w:val="24"/>
          <w:szCs w:val="24"/>
        </w:rPr>
        <w:t xml:space="preserve">) </w:t>
      </w:r>
      <w:proofErr w:type="gramStart"/>
      <w:r w:rsidR="002B29CA">
        <w:rPr>
          <w:rFonts w:asciiTheme="minorHAnsi" w:hAnsiTheme="minorHAnsi" w:cstheme="minorHAnsi"/>
          <w:sz w:val="24"/>
          <w:szCs w:val="24"/>
        </w:rPr>
        <w:t>a</w:t>
      </w:r>
      <w:proofErr w:type="gramEnd"/>
      <w:r w:rsidR="002B29CA">
        <w:rPr>
          <w:rFonts w:asciiTheme="minorHAnsi" w:hAnsiTheme="minorHAnsi" w:cstheme="minorHAnsi"/>
          <w:sz w:val="24"/>
          <w:szCs w:val="24"/>
        </w:rPr>
        <w:t xml:space="preserve"> desk</w:t>
      </w:r>
      <w:r>
        <w:rPr>
          <w:rFonts w:asciiTheme="minorHAnsi" w:hAnsiTheme="minorHAnsi" w:cstheme="minorHAnsi"/>
          <w:sz w:val="24"/>
          <w:szCs w:val="24"/>
        </w:rPr>
        <w:t xml:space="preserve"> review of available facilities and data in country </w:t>
      </w:r>
    </w:p>
    <w:p w:rsidR="002B29CA" w:rsidRDefault="002B29CA" w:rsidP="002B29CA">
      <w:pPr>
        <w:pStyle w:val="NoSpacing"/>
        <w:ind w:firstLine="720"/>
        <w:jc w:val="both"/>
        <w:rPr>
          <w:rFonts w:asciiTheme="minorHAnsi" w:hAnsiTheme="minorHAnsi" w:cstheme="minorHAnsi"/>
          <w:sz w:val="24"/>
          <w:szCs w:val="24"/>
        </w:rPr>
      </w:pPr>
      <w:r>
        <w:rPr>
          <w:rFonts w:asciiTheme="minorHAnsi" w:hAnsiTheme="minorHAnsi" w:cstheme="minorHAnsi"/>
          <w:sz w:val="24"/>
          <w:szCs w:val="24"/>
        </w:rPr>
        <w:t xml:space="preserve">(ii) </w:t>
      </w:r>
      <w:proofErr w:type="gramStart"/>
      <w:r>
        <w:rPr>
          <w:rFonts w:asciiTheme="minorHAnsi" w:hAnsiTheme="minorHAnsi" w:cstheme="minorHAnsi"/>
          <w:sz w:val="24"/>
          <w:szCs w:val="24"/>
        </w:rPr>
        <w:t>a</w:t>
      </w:r>
      <w:r w:rsidR="004F2787">
        <w:rPr>
          <w:rFonts w:asciiTheme="minorHAnsi" w:hAnsiTheme="minorHAnsi" w:cstheme="minorHAnsi"/>
          <w:sz w:val="24"/>
          <w:szCs w:val="24"/>
        </w:rPr>
        <w:t>n</w:t>
      </w:r>
      <w:proofErr w:type="gramEnd"/>
      <w:r w:rsidR="004F2787">
        <w:rPr>
          <w:rFonts w:asciiTheme="minorHAnsi" w:hAnsiTheme="minorHAnsi" w:cstheme="minorHAnsi"/>
          <w:sz w:val="24"/>
          <w:szCs w:val="24"/>
        </w:rPr>
        <w:t xml:space="preserve"> institutional and policy analysis around food data </w:t>
      </w:r>
    </w:p>
    <w:p w:rsidR="002B29CA" w:rsidRDefault="004F2787" w:rsidP="002B29CA">
      <w:pPr>
        <w:pStyle w:val="NoSpacing"/>
        <w:ind w:firstLine="720"/>
        <w:jc w:val="both"/>
        <w:rPr>
          <w:rFonts w:asciiTheme="minorHAnsi" w:hAnsiTheme="minorHAnsi" w:cstheme="minorHAnsi"/>
          <w:sz w:val="24"/>
          <w:szCs w:val="24"/>
        </w:rPr>
      </w:pPr>
      <w:r>
        <w:rPr>
          <w:rFonts w:asciiTheme="minorHAnsi" w:hAnsiTheme="minorHAnsi" w:cstheme="minorHAnsi"/>
          <w:sz w:val="24"/>
          <w:szCs w:val="24"/>
        </w:rPr>
        <w:t xml:space="preserve">(iii) </w:t>
      </w:r>
      <w:proofErr w:type="gramStart"/>
      <w:r>
        <w:rPr>
          <w:rFonts w:asciiTheme="minorHAnsi" w:hAnsiTheme="minorHAnsi" w:cstheme="minorHAnsi"/>
          <w:sz w:val="24"/>
          <w:szCs w:val="24"/>
        </w:rPr>
        <w:t>an</w:t>
      </w:r>
      <w:proofErr w:type="gramEnd"/>
      <w:r>
        <w:rPr>
          <w:rFonts w:asciiTheme="minorHAnsi" w:hAnsiTheme="minorHAnsi" w:cstheme="minorHAnsi"/>
          <w:sz w:val="24"/>
          <w:szCs w:val="24"/>
        </w:rPr>
        <w:t xml:space="preserve"> analysis of data collected during visits and interviews </w:t>
      </w:r>
    </w:p>
    <w:p w:rsidR="002B29CA" w:rsidRDefault="004F2787" w:rsidP="002B29CA">
      <w:pPr>
        <w:pStyle w:val="NoSpacing"/>
        <w:ind w:left="720"/>
        <w:jc w:val="both"/>
        <w:rPr>
          <w:rFonts w:asciiTheme="minorHAnsi" w:hAnsiTheme="minorHAnsi" w:cstheme="minorHAnsi"/>
          <w:sz w:val="24"/>
          <w:szCs w:val="24"/>
        </w:rPr>
      </w:pPr>
      <w:r>
        <w:rPr>
          <w:rFonts w:asciiTheme="minorHAnsi" w:hAnsiTheme="minorHAnsi" w:cstheme="minorHAnsi"/>
          <w:sz w:val="24"/>
          <w:szCs w:val="24"/>
        </w:rPr>
        <w:t xml:space="preserve">(iv) </w:t>
      </w:r>
      <w:proofErr w:type="gramStart"/>
      <w:r>
        <w:rPr>
          <w:rFonts w:asciiTheme="minorHAnsi" w:hAnsiTheme="minorHAnsi" w:cstheme="minorHAnsi"/>
          <w:sz w:val="24"/>
          <w:szCs w:val="24"/>
        </w:rPr>
        <w:t>an</w:t>
      </w:r>
      <w:proofErr w:type="gramEnd"/>
      <w:r>
        <w:rPr>
          <w:rFonts w:asciiTheme="minorHAnsi" w:hAnsiTheme="minorHAnsi" w:cstheme="minorHAnsi"/>
          <w:sz w:val="24"/>
          <w:szCs w:val="24"/>
        </w:rPr>
        <w:t xml:space="preserve"> analysis of the laboratory and institutions capacities highlighting strengths and weaknesses </w:t>
      </w:r>
    </w:p>
    <w:p w:rsidR="004F2787" w:rsidRDefault="004F2787" w:rsidP="002B29CA">
      <w:pPr>
        <w:pStyle w:val="NoSpacing"/>
        <w:ind w:left="720"/>
        <w:jc w:val="both"/>
        <w:rPr>
          <w:rFonts w:asciiTheme="minorHAnsi" w:hAnsiTheme="minorHAnsi" w:cstheme="minorHAnsi"/>
          <w:sz w:val="24"/>
          <w:szCs w:val="24"/>
        </w:rPr>
      </w:pPr>
      <w:r>
        <w:rPr>
          <w:rFonts w:asciiTheme="minorHAnsi" w:hAnsiTheme="minorHAnsi" w:cstheme="minorHAnsi"/>
          <w:sz w:val="24"/>
          <w:szCs w:val="24"/>
        </w:rPr>
        <w:t xml:space="preserve">(v) </w:t>
      </w:r>
      <w:proofErr w:type="gramStart"/>
      <w:r w:rsidR="002B29CA">
        <w:rPr>
          <w:rFonts w:asciiTheme="minorHAnsi" w:hAnsiTheme="minorHAnsi" w:cstheme="minorHAnsi"/>
          <w:sz w:val="24"/>
          <w:szCs w:val="24"/>
        </w:rPr>
        <w:t>some</w:t>
      </w:r>
      <w:proofErr w:type="gramEnd"/>
      <w:r w:rsidR="002B29CA">
        <w:rPr>
          <w:rFonts w:asciiTheme="minorHAnsi" w:hAnsiTheme="minorHAnsi" w:cstheme="minorHAnsi"/>
          <w:sz w:val="24"/>
          <w:szCs w:val="24"/>
        </w:rPr>
        <w:t xml:space="preserve"> </w:t>
      </w:r>
      <w:r>
        <w:rPr>
          <w:rFonts w:asciiTheme="minorHAnsi" w:hAnsiTheme="minorHAnsi" w:cstheme="minorHAnsi"/>
          <w:sz w:val="24"/>
          <w:szCs w:val="24"/>
        </w:rPr>
        <w:t>recommendations and follow up action with regards to undertaking some analyses inside or outside the country and towards an improved system for future initiatives</w:t>
      </w:r>
    </w:p>
    <w:p w:rsidR="004F2787" w:rsidRDefault="004F2787" w:rsidP="004F2787">
      <w:pPr>
        <w:pStyle w:val="NoSpacing"/>
        <w:jc w:val="both"/>
        <w:rPr>
          <w:rFonts w:asciiTheme="minorHAnsi" w:hAnsiTheme="minorHAnsi" w:cstheme="minorHAnsi"/>
          <w:sz w:val="24"/>
          <w:szCs w:val="24"/>
        </w:rPr>
      </w:pPr>
      <w:r>
        <w:rPr>
          <w:rFonts w:asciiTheme="minorHAnsi" w:hAnsiTheme="minorHAnsi" w:cstheme="minorHAnsi"/>
          <w:sz w:val="24"/>
          <w:szCs w:val="24"/>
        </w:rPr>
        <w:t>Preparatory phase will include:</w:t>
      </w:r>
    </w:p>
    <w:p w:rsidR="004F2787" w:rsidRDefault="004F2787" w:rsidP="004F2787">
      <w:pPr>
        <w:pStyle w:val="NoSpacing"/>
        <w:numPr>
          <w:ilvl w:val="0"/>
          <w:numId w:val="7"/>
        </w:numPr>
        <w:jc w:val="both"/>
        <w:rPr>
          <w:rFonts w:asciiTheme="minorHAnsi" w:hAnsiTheme="minorHAnsi" w:cstheme="minorHAnsi"/>
          <w:sz w:val="24"/>
          <w:szCs w:val="24"/>
        </w:rPr>
      </w:pPr>
      <w:r>
        <w:rPr>
          <w:rFonts w:asciiTheme="minorHAnsi" w:hAnsiTheme="minorHAnsi" w:cstheme="minorHAnsi"/>
          <w:sz w:val="24"/>
          <w:szCs w:val="24"/>
        </w:rPr>
        <w:t>Define the scope of the laboratory capacity assessment through discussion with project stakeholders and context analysis</w:t>
      </w:r>
    </w:p>
    <w:p w:rsidR="004F2787" w:rsidRDefault="004F2787" w:rsidP="004F2787">
      <w:pPr>
        <w:pStyle w:val="NoSpacing"/>
        <w:numPr>
          <w:ilvl w:val="0"/>
          <w:numId w:val="7"/>
        </w:numPr>
        <w:jc w:val="both"/>
        <w:rPr>
          <w:rFonts w:asciiTheme="minorHAnsi" w:hAnsiTheme="minorHAnsi" w:cstheme="minorHAnsi"/>
          <w:sz w:val="24"/>
          <w:szCs w:val="24"/>
        </w:rPr>
      </w:pPr>
      <w:r>
        <w:rPr>
          <w:rFonts w:asciiTheme="minorHAnsi" w:hAnsiTheme="minorHAnsi" w:cstheme="minorHAnsi"/>
          <w:sz w:val="24"/>
          <w:szCs w:val="24"/>
        </w:rPr>
        <w:t>Prepare assessment tools and checklist to be validated by EPHI/FAO</w:t>
      </w:r>
    </w:p>
    <w:p w:rsidR="004F2787" w:rsidRDefault="004F2787" w:rsidP="008D0A6D">
      <w:pPr>
        <w:pStyle w:val="NoSpacing"/>
        <w:jc w:val="both"/>
        <w:rPr>
          <w:rFonts w:asciiTheme="minorHAnsi" w:hAnsiTheme="minorHAnsi" w:cstheme="minorHAnsi"/>
          <w:sz w:val="24"/>
          <w:szCs w:val="24"/>
        </w:rPr>
      </w:pPr>
    </w:p>
    <w:p w:rsidR="004F2787" w:rsidRDefault="00B17CE9" w:rsidP="008D0A6D">
      <w:pPr>
        <w:pStyle w:val="NoSpacing"/>
        <w:jc w:val="both"/>
        <w:rPr>
          <w:rFonts w:asciiTheme="minorHAnsi" w:hAnsiTheme="minorHAnsi" w:cstheme="minorHAnsi"/>
          <w:sz w:val="24"/>
          <w:szCs w:val="24"/>
        </w:rPr>
      </w:pPr>
      <w:r>
        <w:rPr>
          <w:rFonts w:asciiTheme="minorHAnsi" w:hAnsiTheme="minorHAnsi" w:cstheme="minorHAnsi"/>
          <w:sz w:val="24"/>
          <w:szCs w:val="24"/>
        </w:rPr>
        <w:t>The activities to be undertaken by the (international) consultant hired for this purpose will be the following:</w:t>
      </w:r>
    </w:p>
    <w:p w:rsidR="00B17CE9" w:rsidRDefault="00B17CE9" w:rsidP="008D0A6D">
      <w:pPr>
        <w:pStyle w:val="NoSpacing"/>
        <w:jc w:val="both"/>
        <w:rPr>
          <w:rFonts w:asciiTheme="minorHAnsi" w:hAnsiTheme="minorHAnsi" w:cstheme="minorHAnsi"/>
          <w:sz w:val="24"/>
          <w:szCs w:val="24"/>
        </w:rPr>
      </w:pPr>
      <w:r>
        <w:rPr>
          <w:rFonts w:asciiTheme="minorHAnsi" w:hAnsiTheme="minorHAnsi" w:cstheme="minorHAnsi"/>
          <w:sz w:val="24"/>
          <w:szCs w:val="24"/>
        </w:rPr>
        <w:t>1- Desk review of available public or private (or intermediary) structures for food analyses (laboratories, etc.) and available data in country (state of the art)</w:t>
      </w:r>
    </w:p>
    <w:p w:rsidR="00B17CE9" w:rsidRDefault="00B17CE9" w:rsidP="008D0A6D">
      <w:pPr>
        <w:pStyle w:val="NoSpacing"/>
        <w:jc w:val="both"/>
        <w:rPr>
          <w:rFonts w:asciiTheme="minorHAnsi" w:hAnsiTheme="minorHAnsi" w:cstheme="minorHAnsi"/>
          <w:sz w:val="24"/>
          <w:szCs w:val="24"/>
        </w:rPr>
      </w:pPr>
      <w:r>
        <w:rPr>
          <w:rFonts w:asciiTheme="minorHAnsi" w:hAnsiTheme="minorHAnsi" w:cstheme="minorHAnsi"/>
          <w:sz w:val="24"/>
          <w:szCs w:val="24"/>
        </w:rPr>
        <w:t xml:space="preserve">2- Analysis of institutional, governance and policy existing arrangements </w:t>
      </w:r>
      <w:r w:rsidR="00442001">
        <w:rPr>
          <w:rFonts w:asciiTheme="minorHAnsi" w:hAnsiTheme="minorHAnsi" w:cstheme="minorHAnsi"/>
          <w:sz w:val="24"/>
          <w:szCs w:val="24"/>
        </w:rPr>
        <w:t xml:space="preserve">and set up regarding </w:t>
      </w:r>
      <w:r>
        <w:rPr>
          <w:rFonts w:asciiTheme="minorHAnsi" w:hAnsiTheme="minorHAnsi" w:cstheme="minorHAnsi"/>
          <w:sz w:val="24"/>
          <w:szCs w:val="24"/>
        </w:rPr>
        <w:t>food composition research and</w:t>
      </w:r>
      <w:r w:rsidR="00442001">
        <w:rPr>
          <w:rFonts w:asciiTheme="minorHAnsi" w:hAnsiTheme="minorHAnsi" w:cstheme="minorHAnsi"/>
          <w:sz w:val="24"/>
          <w:szCs w:val="24"/>
        </w:rPr>
        <w:t xml:space="preserve"> food</w:t>
      </w:r>
      <w:r>
        <w:rPr>
          <w:rFonts w:asciiTheme="minorHAnsi" w:hAnsiTheme="minorHAnsi" w:cstheme="minorHAnsi"/>
          <w:sz w:val="24"/>
          <w:szCs w:val="24"/>
        </w:rPr>
        <w:t xml:space="preserve"> data management</w:t>
      </w:r>
      <w:r w:rsidR="00F279F6">
        <w:rPr>
          <w:rFonts w:asciiTheme="minorHAnsi" w:hAnsiTheme="minorHAnsi" w:cstheme="minorHAnsi"/>
          <w:sz w:val="24"/>
          <w:szCs w:val="24"/>
        </w:rPr>
        <w:t xml:space="preserve"> including human resources capacities</w:t>
      </w:r>
    </w:p>
    <w:p w:rsidR="00B17CE9" w:rsidRDefault="00B17CE9" w:rsidP="008D0A6D">
      <w:pPr>
        <w:pStyle w:val="NoSpacing"/>
        <w:jc w:val="both"/>
        <w:rPr>
          <w:rFonts w:asciiTheme="minorHAnsi" w:hAnsiTheme="minorHAnsi" w:cstheme="minorHAnsi"/>
          <w:sz w:val="24"/>
          <w:szCs w:val="24"/>
        </w:rPr>
      </w:pPr>
      <w:r>
        <w:rPr>
          <w:rFonts w:asciiTheme="minorHAnsi" w:hAnsiTheme="minorHAnsi" w:cstheme="minorHAnsi"/>
          <w:sz w:val="24"/>
          <w:szCs w:val="24"/>
        </w:rPr>
        <w:lastRenderedPageBreak/>
        <w:t xml:space="preserve">3- Visit to a selected number of laboratories including interview with key stakeholders and use of </w:t>
      </w:r>
      <w:r w:rsidR="002B29CA">
        <w:rPr>
          <w:rFonts w:asciiTheme="minorHAnsi" w:hAnsiTheme="minorHAnsi" w:cstheme="minorHAnsi"/>
          <w:sz w:val="24"/>
          <w:szCs w:val="24"/>
        </w:rPr>
        <w:t>a checklist</w:t>
      </w:r>
      <w:r>
        <w:rPr>
          <w:rFonts w:asciiTheme="minorHAnsi" w:hAnsiTheme="minorHAnsi" w:cstheme="minorHAnsi"/>
          <w:sz w:val="24"/>
          <w:szCs w:val="24"/>
        </w:rPr>
        <w:t xml:space="preserve"> (through observations and interviews)</w:t>
      </w:r>
      <w:r w:rsidR="002B29CA">
        <w:rPr>
          <w:rFonts w:asciiTheme="minorHAnsi" w:hAnsiTheme="minorHAnsi" w:cstheme="minorHAnsi"/>
          <w:sz w:val="24"/>
          <w:szCs w:val="24"/>
        </w:rPr>
        <w:t xml:space="preserve"> to be elaborated and refined during the consultancy</w:t>
      </w:r>
    </w:p>
    <w:p w:rsidR="00442001" w:rsidRDefault="002B29CA" w:rsidP="008D0A6D">
      <w:pPr>
        <w:pStyle w:val="NoSpacing"/>
        <w:jc w:val="both"/>
        <w:rPr>
          <w:rFonts w:asciiTheme="minorHAnsi" w:hAnsiTheme="minorHAnsi" w:cstheme="minorHAnsi"/>
          <w:sz w:val="24"/>
          <w:szCs w:val="24"/>
        </w:rPr>
      </w:pPr>
      <w:r>
        <w:rPr>
          <w:rFonts w:asciiTheme="minorHAnsi" w:hAnsiTheme="minorHAnsi" w:cstheme="minorHAnsi"/>
          <w:sz w:val="24"/>
          <w:szCs w:val="24"/>
        </w:rPr>
        <w:t>4- Elaboration of a rapid capacity assessment</w:t>
      </w:r>
      <w:r w:rsidR="00442001">
        <w:rPr>
          <w:rFonts w:asciiTheme="minorHAnsi" w:hAnsiTheme="minorHAnsi" w:cstheme="minorHAnsi"/>
          <w:sz w:val="24"/>
          <w:szCs w:val="24"/>
        </w:rPr>
        <w:t xml:space="preserve"> report including recommendations</w:t>
      </w:r>
      <w:r w:rsidR="004F2787">
        <w:rPr>
          <w:rFonts w:asciiTheme="minorHAnsi" w:hAnsiTheme="minorHAnsi" w:cstheme="minorHAnsi"/>
          <w:sz w:val="24"/>
          <w:szCs w:val="24"/>
        </w:rPr>
        <w:t xml:space="preserve"> and way forward</w:t>
      </w:r>
    </w:p>
    <w:p w:rsidR="00442001" w:rsidRDefault="00442001" w:rsidP="008D0A6D">
      <w:pPr>
        <w:pStyle w:val="NoSpacing"/>
        <w:jc w:val="both"/>
        <w:rPr>
          <w:rFonts w:asciiTheme="minorHAnsi" w:hAnsiTheme="minorHAnsi" w:cstheme="minorHAnsi"/>
          <w:sz w:val="24"/>
          <w:szCs w:val="24"/>
        </w:rPr>
      </w:pPr>
    </w:p>
    <w:p w:rsidR="007E50C4" w:rsidRDefault="007E50C4" w:rsidP="008D0A6D">
      <w:pPr>
        <w:pStyle w:val="NoSpacing"/>
        <w:jc w:val="both"/>
        <w:rPr>
          <w:rFonts w:asciiTheme="minorHAnsi" w:hAnsiTheme="minorHAnsi" w:cstheme="minorHAnsi"/>
          <w:sz w:val="24"/>
          <w:szCs w:val="24"/>
        </w:rPr>
      </w:pPr>
      <w:r w:rsidRPr="007E50C4">
        <w:rPr>
          <w:rFonts w:asciiTheme="minorHAnsi" w:hAnsiTheme="minorHAnsi" w:cstheme="minorHAnsi"/>
          <w:sz w:val="24"/>
          <w:szCs w:val="24"/>
          <w:u w:val="single"/>
        </w:rPr>
        <w:t>Duration</w:t>
      </w:r>
      <w:r>
        <w:rPr>
          <w:rFonts w:asciiTheme="minorHAnsi" w:hAnsiTheme="minorHAnsi" w:cstheme="minorHAnsi"/>
          <w:sz w:val="24"/>
          <w:szCs w:val="24"/>
        </w:rPr>
        <w:t>: 30 to 40 actually worked days</w:t>
      </w:r>
    </w:p>
    <w:p w:rsidR="007E50C4" w:rsidRDefault="007E50C4" w:rsidP="008D0A6D">
      <w:pPr>
        <w:pStyle w:val="NoSpacing"/>
        <w:jc w:val="both"/>
        <w:rPr>
          <w:rFonts w:asciiTheme="minorHAnsi" w:hAnsiTheme="minorHAnsi" w:cstheme="minorHAnsi"/>
          <w:sz w:val="24"/>
          <w:szCs w:val="24"/>
        </w:rPr>
      </w:pPr>
    </w:p>
    <w:p w:rsidR="007E50C4" w:rsidRDefault="007E50C4" w:rsidP="008D0A6D">
      <w:pPr>
        <w:pStyle w:val="NoSpacing"/>
        <w:jc w:val="both"/>
        <w:rPr>
          <w:rFonts w:asciiTheme="minorHAnsi" w:hAnsiTheme="minorHAnsi" w:cstheme="minorHAnsi"/>
          <w:sz w:val="24"/>
          <w:szCs w:val="24"/>
        </w:rPr>
      </w:pPr>
      <w:r w:rsidRPr="007E50C4">
        <w:rPr>
          <w:rFonts w:asciiTheme="minorHAnsi" w:hAnsiTheme="minorHAnsi" w:cstheme="minorHAnsi"/>
          <w:sz w:val="24"/>
          <w:szCs w:val="24"/>
          <w:u w:val="single"/>
        </w:rPr>
        <w:t>Duty station</w:t>
      </w:r>
      <w:r>
        <w:rPr>
          <w:rFonts w:asciiTheme="minorHAnsi" w:hAnsiTheme="minorHAnsi" w:cstheme="minorHAnsi"/>
          <w:sz w:val="24"/>
          <w:szCs w:val="24"/>
        </w:rPr>
        <w:t>: Addis Ababa, Ethiopia with some field visits in the laboratories (20-30 AWD), the rest of the worked days dedicated to elaboration of the report, can be home based.</w:t>
      </w:r>
    </w:p>
    <w:p w:rsidR="007E50C4" w:rsidRDefault="007E50C4" w:rsidP="008D0A6D">
      <w:pPr>
        <w:pStyle w:val="NoSpacing"/>
        <w:jc w:val="both"/>
        <w:rPr>
          <w:rFonts w:asciiTheme="minorHAnsi" w:hAnsiTheme="minorHAnsi" w:cstheme="minorHAnsi"/>
          <w:sz w:val="24"/>
          <w:szCs w:val="24"/>
        </w:rPr>
      </w:pPr>
    </w:p>
    <w:p w:rsidR="007E50C4" w:rsidRDefault="007E50C4" w:rsidP="008D0A6D">
      <w:pPr>
        <w:pStyle w:val="NoSpacing"/>
        <w:jc w:val="both"/>
        <w:rPr>
          <w:rFonts w:asciiTheme="minorHAnsi" w:hAnsiTheme="minorHAnsi" w:cstheme="minorHAnsi"/>
          <w:sz w:val="24"/>
          <w:szCs w:val="24"/>
        </w:rPr>
      </w:pPr>
      <w:r>
        <w:rPr>
          <w:rFonts w:asciiTheme="minorHAnsi" w:hAnsiTheme="minorHAnsi" w:cstheme="minorHAnsi"/>
          <w:sz w:val="24"/>
          <w:szCs w:val="24"/>
        </w:rPr>
        <w:t>The international consultant will have at least 10 years of relevant experience in food composition data manageme</w:t>
      </w:r>
      <w:bookmarkStart w:id="0" w:name="_GoBack"/>
      <w:bookmarkEnd w:id="0"/>
      <w:r>
        <w:rPr>
          <w:rFonts w:asciiTheme="minorHAnsi" w:hAnsiTheme="minorHAnsi" w:cstheme="minorHAnsi"/>
          <w:sz w:val="24"/>
          <w:szCs w:val="24"/>
        </w:rPr>
        <w:t>nt, food quality, food quality assessment, evaluation techniques.</w:t>
      </w:r>
    </w:p>
    <w:sectPr w:rsidR="007E50C4">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30E" w:rsidRDefault="0026230E" w:rsidP="008D0A6D">
      <w:pPr>
        <w:spacing w:after="0" w:line="240" w:lineRule="auto"/>
      </w:pPr>
      <w:r>
        <w:separator/>
      </w:r>
    </w:p>
  </w:endnote>
  <w:endnote w:type="continuationSeparator" w:id="0">
    <w:p w:rsidR="0026230E" w:rsidRDefault="0026230E" w:rsidP="008D0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952728"/>
      <w:docPartObj>
        <w:docPartGallery w:val="Page Numbers (Bottom of Page)"/>
        <w:docPartUnique/>
      </w:docPartObj>
    </w:sdtPr>
    <w:sdtEndPr>
      <w:rPr>
        <w:noProof/>
      </w:rPr>
    </w:sdtEndPr>
    <w:sdtContent>
      <w:p w:rsidR="008D0A6D" w:rsidRDefault="008D0A6D">
        <w:pPr>
          <w:pStyle w:val="Footer"/>
          <w:jc w:val="center"/>
        </w:pPr>
        <w:r>
          <w:fldChar w:fldCharType="begin"/>
        </w:r>
        <w:r>
          <w:instrText xml:space="preserve"> PAGE   \* MERGEFORMAT </w:instrText>
        </w:r>
        <w:r>
          <w:fldChar w:fldCharType="separate"/>
        </w:r>
        <w:r w:rsidR="007E50C4">
          <w:rPr>
            <w:noProof/>
          </w:rPr>
          <w:t>2</w:t>
        </w:r>
        <w:r>
          <w:rPr>
            <w:noProof/>
          </w:rPr>
          <w:fldChar w:fldCharType="end"/>
        </w:r>
      </w:p>
    </w:sdtContent>
  </w:sdt>
  <w:p w:rsidR="008D0A6D" w:rsidRDefault="008D0A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30E" w:rsidRDefault="0026230E" w:rsidP="008D0A6D">
      <w:pPr>
        <w:spacing w:after="0" w:line="240" w:lineRule="auto"/>
      </w:pPr>
      <w:r>
        <w:separator/>
      </w:r>
    </w:p>
  </w:footnote>
  <w:footnote w:type="continuationSeparator" w:id="0">
    <w:p w:rsidR="0026230E" w:rsidRDefault="0026230E" w:rsidP="008D0A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78F"/>
    <w:multiLevelType w:val="hybridMultilevel"/>
    <w:tmpl w:val="1B54B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FA493D"/>
    <w:multiLevelType w:val="hybridMultilevel"/>
    <w:tmpl w:val="F05483FE"/>
    <w:lvl w:ilvl="0" w:tplc="0F3CD2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5537320"/>
    <w:multiLevelType w:val="hybridMultilevel"/>
    <w:tmpl w:val="679E9134"/>
    <w:lvl w:ilvl="0" w:tplc="2038631A">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B92472"/>
    <w:multiLevelType w:val="hybridMultilevel"/>
    <w:tmpl w:val="C34822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CF11B66"/>
    <w:multiLevelType w:val="hybridMultilevel"/>
    <w:tmpl w:val="BAD877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DC4D00"/>
    <w:multiLevelType w:val="hybridMultilevel"/>
    <w:tmpl w:val="7F44D488"/>
    <w:lvl w:ilvl="0" w:tplc="3064FA14">
      <w:numFmt w:val="bullet"/>
      <w:lvlText w:val="•"/>
      <w:lvlJc w:val="left"/>
      <w:pPr>
        <w:ind w:left="1080" w:hanging="72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73479E"/>
    <w:multiLevelType w:val="hybridMultilevel"/>
    <w:tmpl w:val="83EC7650"/>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8" w15:restartNumberingAfterBreak="0">
    <w:nsid w:val="79F628D1"/>
    <w:multiLevelType w:val="hybridMultilevel"/>
    <w:tmpl w:val="16CCE3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6"/>
  </w:num>
  <w:num w:numId="3">
    <w:abstractNumId w:val="1"/>
  </w:num>
  <w:num w:numId="4">
    <w:abstractNumId w:val="8"/>
  </w:num>
  <w:num w:numId="5">
    <w:abstractNumId w:val="0"/>
  </w:num>
  <w:num w:numId="6">
    <w:abstractNumId w:val="7"/>
  </w:num>
  <w:num w:numId="7">
    <w:abstractNumId w:val="3"/>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es-ES_tradnl"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A6D"/>
    <w:rsid w:val="00006A42"/>
    <w:rsid w:val="00022B22"/>
    <w:rsid w:val="000A58E7"/>
    <w:rsid w:val="000C3AC2"/>
    <w:rsid w:val="000D6BA1"/>
    <w:rsid w:val="000D7334"/>
    <w:rsid w:val="00116473"/>
    <w:rsid w:val="00123394"/>
    <w:rsid w:val="00171C77"/>
    <w:rsid w:val="001D5579"/>
    <w:rsid w:val="001E76C3"/>
    <w:rsid w:val="00201CDE"/>
    <w:rsid w:val="002322D4"/>
    <w:rsid w:val="00241522"/>
    <w:rsid w:val="0026230E"/>
    <w:rsid w:val="002B29CA"/>
    <w:rsid w:val="002D0190"/>
    <w:rsid w:val="002D1678"/>
    <w:rsid w:val="00334E02"/>
    <w:rsid w:val="003413D3"/>
    <w:rsid w:val="003641BA"/>
    <w:rsid w:val="00376D74"/>
    <w:rsid w:val="0039129B"/>
    <w:rsid w:val="003A36F5"/>
    <w:rsid w:val="003C6388"/>
    <w:rsid w:val="003D1784"/>
    <w:rsid w:val="003D235A"/>
    <w:rsid w:val="003D5FD2"/>
    <w:rsid w:val="003F795E"/>
    <w:rsid w:val="00442001"/>
    <w:rsid w:val="0046344D"/>
    <w:rsid w:val="00472E32"/>
    <w:rsid w:val="00492A7E"/>
    <w:rsid w:val="004A7B7A"/>
    <w:rsid w:val="004B5547"/>
    <w:rsid w:val="004D208A"/>
    <w:rsid w:val="004D2631"/>
    <w:rsid w:val="004F2787"/>
    <w:rsid w:val="0054168A"/>
    <w:rsid w:val="00541BBB"/>
    <w:rsid w:val="00544E62"/>
    <w:rsid w:val="00564E52"/>
    <w:rsid w:val="005C15A6"/>
    <w:rsid w:val="00607D52"/>
    <w:rsid w:val="00691541"/>
    <w:rsid w:val="00691997"/>
    <w:rsid w:val="00697877"/>
    <w:rsid w:val="006A6710"/>
    <w:rsid w:val="006B72EF"/>
    <w:rsid w:val="0071108A"/>
    <w:rsid w:val="00736343"/>
    <w:rsid w:val="00762E47"/>
    <w:rsid w:val="007676E8"/>
    <w:rsid w:val="007756AA"/>
    <w:rsid w:val="007C3B2C"/>
    <w:rsid w:val="007E50C4"/>
    <w:rsid w:val="007E69B1"/>
    <w:rsid w:val="007F0675"/>
    <w:rsid w:val="007F1657"/>
    <w:rsid w:val="00805BCB"/>
    <w:rsid w:val="00816C0A"/>
    <w:rsid w:val="008305C3"/>
    <w:rsid w:val="008404C7"/>
    <w:rsid w:val="00851363"/>
    <w:rsid w:val="0086231C"/>
    <w:rsid w:val="00867D98"/>
    <w:rsid w:val="008819C3"/>
    <w:rsid w:val="008D0A6D"/>
    <w:rsid w:val="008F75AF"/>
    <w:rsid w:val="00937138"/>
    <w:rsid w:val="00947565"/>
    <w:rsid w:val="009502E5"/>
    <w:rsid w:val="00996055"/>
    <w:rsid w:val="009966AB"/>
    <w:rsid w:val="00996B7E"/>
    <w:rsid w:val="009C6A7C"/>
    <w:rsid w:val="009E132B"/>
    <w:rsid w:val="009E4903"/>
    <w:rsid w:val="00A17C29"/>
    <w:rsid w:val="00A52C05"/>
    <w:rsid w:val="00A63B60"/>
    <w:rsid w:val="00A74BD6"/>
    <w:rsid w:val="00A93964"/>
    <w:rsid w:val="00AB3804"/>
    <w:rsid w:val="00AF30EC"/>
    <w:rsid w:val="00AF4938"/>
    <w:rsid w:val="00AF7E16"/>
    <w:rsid w:val="00B12061"/>
    <w:rsid w:val="00B17CE9"/>
    <w:rsid w:val="00B23614"/>
    <w:rsid w:val="00B27AD4"/>
    <w:rsid w:val="00B525E1"/>
    <w:rsid w:val="00B554D8"/>
    <w:rsid w:val="00B6052F"/>
    <w:rsid w:val="00B93F56"/>
    <w:rsid w:val="00BB6087"/>
    <w:rsid w:val="00BE57D3"/>
    <w:rsid w:val="00C108DF"/>
    <w:rsid w:val="00C15B07"/>
    <w:rsid w:val="00C16F9B"/>
    <w:rsid w:val="00C9760C"/>
    <w:rsid w:val="00CA5B7E"/>
    <w:rsid w:val="00CE1AB0"/>
    <w:rsid w:val="00CE700D"/>
    <w:rsid w:val="00CF1589"/>
    <w:rsid w:val="00CF336F"/>
    <w:rsid w:val="00D13FF0"/>
    <w:rsid w:val="00D613A1"/>
    <w:rsid w:val="00D67BB8"/>
    <w:rsid w:val="00D76F1F"/>
    <w:rsid w:val="00D81C10"/>
    <w:rsid w:val="00D97272"/>
    <w:rsid w:val="00DA665F"/>
    <w:rsid w:val="00DD528B"/>
    <w:rsid w:val="00DD5331"/>
    <w:rsid w:val="00E00A4B"/>
    <w:rsid w:val="00E06D53"/>
    <w:rsid w:val="00E079B8"/>
    <w:rsid w:val="00E27E1C"/>
    <w:rsid w:val="00E74AC4"/>
    <w:rsid w:val="00E767AE"/>
    <w:rsid w:val="00E83A12"/>
    <w:rsid w:val="00E918B9"/>
    <w:rsid w:val="00EA4563"/>
    <w:rsid w:val="00EC3DE1"/>
    <w:rsid w:val="00EC7832"/>
    <w:rsid w:val="00F25800"/>
    <w:rsid w:val="00F279F6"/>
    <w:rsid w:val="00F4284B"/>
    <w:rsid w:val="00F82BC8"/>
    <w:rsid w:val="00F83648"/>
    <w:rsid w:val="00F90C55"/>
    <w:rsid w:val="00FA0A40"/>
    <w:rsid w:val="00FC1269"/>
    <w:rsid w:val="00FE0F93"/>
    <w:rsid w:val="00FE76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1FC6F"/>
  <w15:chartTrackingRefBased/>
  <w15:docId w15:val="{01E55288-656C-4B41-A922-E2ED66BE9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B6087"/>
    <w:pPr>
      <w:tabs>
        <w:tab w:val="left" w:pos="7185"/>
      </w:tabs>
      <w:spacing w:before="200" w:after="0" w:line="240" w:lineRule="auto"/>
      <w:ind w:left="450"/>
      <w:outlineLvl w:val="0"/>
    </w:pPr>
    <w:rPr>
      <w:rFonts w:ascii="Tahoma" w:eastAsia="Times New Roman" w:hAnsi="Tahoma" w:cs="Times New Roman"/>
      <w:b/>
      <w:caps/>
      <w:sz w:val="28"/>
      <w:szCs w:val="28"/>
      <w:lang w:val="en-US"/>
    </w:rPr>
  </w:style>
  <w:style w:type="paragraph" w:styleId="Heading2">
    <w:name w:val="heading 2"/>
    <w:basedOn w:val="Normal"/>
    <w:next w:val="Normal"/>
    <w:link w:val="Heading2Char"/>
    <w:unhideWhenUsed/>
    <w:qFormat/>
    <w:rsid w:val="00BB6087"/>
    <w:pPr>
      <w:tabs>
        <w:tab w:val="left" w:pos="7185"/>
      </w:tabs>
      <w:spacing w:after="0" w:line="240" w:lineRule="auto"/>
      <w:outlineLvl w:val="1"/>
    </w:pPr>
    <w:rPr>
      <w:rFonts w:ascii="Tahoma" w:eastAsia="Times New Roman" w:hAnsi="Tahoma" w:cs="Times New Roman"/>
      <w:b/>
      <w:caps/>
      <w:color w:val="000000"/>
      <w:sz w:val="18"/>
      <w:szCs w:val="20"/>
      <w:lang w:val="en-US"/>
    </w:rPr>
  </w:style>
  <w:style w:type="paragraph" w:styleId="Heading3">
    <w:name w:val="heading 3"/>
    <w:basedOn w:val="Normal"/>
    <w:next w:val="Normal"/>
    <w:link w:val="Heading3Char"/>
    <w:unhideWhenUsed/>
    <w:qFormat/>
    <w:rsid w:val="00BB6087"/>
    <w:pPr>
      <w:spacing w:after="200" w:line="240" w:lineRule="auto"/>
      <w:ind w:left="450"/>
      <w:outlineLvl w:val="2"/>
    </w:pPr>
    <w:rPr>
      <w:rFonts w:ascii="Tahoma" w:eastAsia="Times New Roman" w:hAnsi="Tahoma"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D0A6D"/>
    <w:pPr>
      <w:spacing w:after="0" w:line="240" w:lineRule="auto"/>
    </w:pPr>
    <w:rPr>
      <w:rFonts w:ascii="Calibri" w:eastAsia="Times New Roman" w:hAnsi="Calibri" w:cs="Times New Roman"/>
      <w:lang w:val="en-US"/>
    </w:rPr>
  </w:style>
  <w:style w:type="character" w:customStyle="1" w:styleId="NoSpacingChar">
    <w:name w:val="No Spacing Char"/>
    <w:basedOn w:val="DefaultParagraphFont"/>
    <w:link w:val="NoSpacing"/>
    <w:uiPriority w:val="1"/>
    <w:locked/>
    <w:rsid w:val="008D0A6D"/>
    <w:rPr>
      <w:rFonts w:ascii="Calibri" w:eastAsia="Times New Roman" w:hAnsi="Calibri" w:cs="Times New Roman"/>
      <w:lang w:val="en-US"/>
    </w:rPr>
  </w:style>
  <w:style w:type="paragraph" w:styleId="FootnoteText">
    <w:name w:val="footnote text"/>
    <w:basedOn w:val="Normal"/>
    <w:link w:val="FootnoteTextChar"/>
    <w:uiPriority w:val="99"/>
    <w:semiHidden/>
    <w:unhideWhenUsed/>
    <w:rsid w:val="008D0A6D"/>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8D0A6D"/>
    <w:rPr>
      <w:sz w:val="20"/>
      <w:szCs w:val="20"/>
      <w:lang w:val="en-US"/>
    </w:rPr>
  </w:style>
  <w:style w:type="character" w:styleId="FootnoteReference">
    <w:name w:val="footnote reference"/>
    <w:basedOn w:val="DefaultParagraphFont"/>
    <w:uiPriority w:val="99"/>
    <w:semiHidden/>
    <w:unhideWhenUsed/>
    <w:rsid w:val="008D0A6D"/>
    <w:rPr>
      <w:vertAlign w:val="superscript"/>
    </w:rPr>
  </w:style>
  <w:style w:type="paragraph" w:styleId="Header">
    <w:name w:val="header"/>
    <w:basedOn w:val="Normal"/>
    <w:link w:val="HeaderChar"/>
    <w:uiPriority w:val="99"/>
    <w:unhideWhenUsed/>
    <w:rsid w:val="008D0A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0A6D"/>
  </w:style>
  <w:style w:type="paragraph" w:styleId="Footer">
    <w:name w:val="footer"/>
    <w:basedOn w:val="Normal"/>
    <w:link w:val="FooterChar"/>
    <w:uiPriority w:val="99"/>
    <w:unhideWhenUsed/>
    <w:rsid w:val="008D0A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0A6D"/>
  </w:style>
  <w:style w:type="character" w:customStyle="1" w:styleId="Heading1Char">
    <w:name w:val="Heading 1 Char"/>
    <w:basedOn w:val="DefaultParagraphFont"/>
    <w:link w:val="Heading1"/>
    <w:rsid w:val="00BB6087"/>
    <w:rPr>
      <w:rFonts w:ascii="Tahoma" w:eastAsia="Times New Roman" w:hAnsi="Tahoma" w:cs="Times New Roman"/>
      <w:b/>
      <w:caps/>
      <w:sz w:val="28"/>
      <w:szCs w:val="28"/>
      <w:lang w:val="en-US"/>
    </w:rPr>
  </w:style>
  <w:style w:type="character" w:customStyle="1" w:styleId="Heading2Char">
    <w:name w:val="Heading 2 Char"/>
    <w:basedOn w:val="DefaultParagraphFont"/>
    <w:link w:val="Heading2"/>
    <w:rsid w:val="00BB6087"/>
    <w:rPr>
      <w:rFonts w:ascii="Tahoma" w:eastAsia="Times New Roman" w:hAnsi="Tahoma" w:cs="Times New Roman"/>
      <w:b/>
      <w:caps/>
      <w:color w:val="000000"/>
      <w:sz w:val="18"/>
      <w:szCs w:val="20"/>
      <w:lang w:val="en-US"/>
    </w:rPr>
  </w:style>
  <w:style w:type="character" w:customStyle="1" w:styleId="Heading3Char">
    <w:name w:val="Heading 3 Char"/>
    <w:basedOn w:val="DefaultParagraphFont"/>
    <w:link w:val="Heading3"/>
    <w:rsid w:val="00BB6087"/>
    <w:rPr>
      <w:rFonts w:ascii="Tahoma" w:eastAsia="Times New Roman" w:hAnsi="Tahoma" w:cs="Times New Roman"/>
      <w:sz w:val="20"/>
      <w:szCs w:val="20"/>
      <w:lang w:val="en-US"/>
    </w:rPr>
  </w:style>
  <w:style w:type="paragraph" w:customStyle="1" w:styleId="Italics">
    <w:name w:val="Italics"/>
    <w:basedOn w:val="Normal"/>
    <w:rsid w:val="00BB6087"/>
    <w:pPr>
      <w:spacing w:after="0" w:line="240" w:lineRule="auto"/>
    </w:pPr>
    <w:rPr>
      <w:rFonts w:ascii="Tahoma" w:eastAsia="Times New Roman" w:hAnsi="Tahoma" w:cs="Times New Roman"/>
      <w:i/>
      <w:sz w:val="16"/>
      <w:szCs w:val="24"/>
      <w:lang w:val="en-US"/>
    </w:rPr>
  </w:style>
  <w:style w:type="paragraph" w:customStyle="1" w:styleId="Text">
    <w:name w:val="Text"/>
    <w:basedOn w:val="Normal"/>
    <w:rsid w:val="00BB6087"/>
    <w:pPr>
      <w:spacing w:before="100" w:after="100" w:line="288" w:lineRule="auto"/>
    </w:pPr>
    <w:rPr>
      <w:rFonts w:ascii="Tahoma" w:eastAsia="Times New Roman" w:hAnsi="Tahoma" w:cs="Times New Roman"/>
      <w:sz w:val="16"/>
      <w:szCs w:val="24"/>
      <w:lang w:val="en-US"/>
    </w:rPr>
  </w:style>
  <w:style w:type="paragraph" w:customStyle="1" w:styleId="RequirementsList">
    <w:name w:val="Requirements List"/>
    <w:basedOn w:val="Text"/>
    <w:rsid w:val="00BB6087"/>
    <w:pPr>
      <w:numPr>
        <w:numId w:val="8"/>
      </w:numPr>
    </w:pPr>
  </w:style>
  <w:style w:type="character" w:styleId="PlaceholderText">
    <w:name w:val="Placeholder Text"/>
    <w:basedOn w:val="DefaultParagraphFont"/>
    <w:uiPriority w:val="99"/>
    <w:semiHidden/>
    <w:rsid w:val="00BB6087"/>
    <w:rPr>
      <w:color w:val="808080"/>
    </w:rPr>
  </w:style>
  <w:style w:type="table" w:styleId="TableGrid">
    <w:name w:val="Table Grid"/>
    <w:basedOn w:val="TableNormal"/>
    <w:uiPriority w:val="59"/>
    <w:rsid w:val="00BB608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23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74E"/>
    <w:rsid w:val="001B474E"/>
    <w:rsid w:val="004B0A65"/>
    <w:rsid w:val="00DA1DEB"/>
    <w:rsid w:val="00E93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474E"/>
    <w:rPr>
      <w:color w:val="808080"/>
    </w:rPr>
  </w:style>
  <w:style w:type="paragraph" w:customStyle="1" w:styleId="42CB91367BBF40ABBDDAD406C863F8B7">
    <w:name w:val="42CB91367BBF40ABBDDAD406C863F8B7"/>
    <w:rsid w:val="001B47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509</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Berman, Sally (OPCC)</dc:creator>
  <cp:keywords/>
  <dc:description/>
  <cp:lastModifiedBy>Tonnoir, Florence (FAOET)</cp:lastModifiedBy>
  <cp:revision>5</cp:revision>
  <dcterms:created xsi:type="dcterms:W3CDTF">2019-02-18T06:12:00Z</dcterms:created>
  <dcterms:modified xsi:type="dcterms:W3CDTF">2019-02-18T06:23:00Z</dcterms:modified>
</cp:coreProperties>
</file>