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D86A80" w:rsidR="3E4E2E65" w:rsidP="00D86A80" w:rsidRDefault="42957BA7" w14:paraId="6007F661" w14:textId="774C37B0">
      <w:pPr>
        <w:spacing w:after="0" w:line="276" w:lineRule="auto"/>
        <w:jc w:val="center"/>
        <w:rPr>
          <w:rFonts w:ascii="Times New Roman" w:hAnsi="Times New Roman" w:eastAsiaTheme="minorEastAsia"/>
          <w:b/>
          <w:bCs/>
          <w:sz w:val="26"/>
          <w:szCs w:val="26"/>
          <w:lang w:val="en-US" w:eastAsia="zh-CN"/>
        </w:rPr>
      </w:pPr>
      <w:r w:rsidRPr="00D86A80">
        <w:rPr>
          <w:rFonts w:ascii="Times New Roman" w:hAnsi="Times New Roman" w:eastAsiaTheme="minorEastAsia"/>
          <w:b/>
          <w:bCs/>
          <w:sz w:val="26"/>
          <w:szCs w:val="26"/>
          <w:lang w:val="en-US" w:eastAsia="zh-CN"/>
        </w:rPr>
        <w:t>Task Force on Sustainability</w:t>
      </w:r>
    </w:p>
    <w:p w:rsidRPr="00D86A80" w:rsidR="3E4E2E65" w:rsidP="00D86A80" w:rsidRDefault="42957BA7" w14:paraId="5801C947" w14:textId="772A9ABF">
      <w:pPr>
        <w:spacing w:after="200" w:line="276" w:lineRule="auto"/>
        <w:jc w:val="center"/>
        <w:rPr>
          <w:rFonts w:ascii="Times New Roman" w:hAnsi="Times New Roman" w:eastAsiaTheme="minorEastAsia"/>
          <w:b/>
          <w:bCs/>
          <w:sz w:val="26"/>
          <w:szCs w:val="26"/>
          <w:lang w:val="en-US" w:eastAsia="zh-CN"/>
        </w:rPr>
      </w:pPr>
      <w:r w:rsidRPr="00D86A80">
        <w:rPr>
          <w:rFonts w:ascii="Times New Roman" w:hAnsi="Times New Roman" w:eastAsiaTheme="minorEastAsia"/>
          <w:b/>
          <w:bCs/>
          <w:sz w:val="26"/>
          <w:szCs w:val="26"/>
          <w:lang w:val="en-US" w:eastAsia="zh-CN"/>
        </w:rPr>
        <w:t>Addendum to the Scope of Work</w:t>
      </w:r>
    </w:p>
    <w:p w:rsidRPr="00D86A80" w:rsidR="42957BA7" w:rsidP="00D86A80" w:rsidRDefault="42957BA7" w14:paraId="046120AC" w14:textId="47E1DB26">
      <w:pPr>
        <w:numPr>
          <w:ilvl w:val="1"/>
          <w:numId w:val="0"/>
        </w:numPr>
        <w:spacing w:after="200" w:line="276" w:lineRule="auto"/>
        <w:jc w:val="center"/>
        <w:rPr>
          <w:rFonts w:ascii="Times New Roman" w:hAnsi="Times New Roman" w:eastAsiaTheme="minorEastAsia"/>
          <w:b/>
          <w:bCs/>
          <w:i/>
          <w:iCs/>
          <w:sz w:val="26"/>
          <w:szCs w:val="26"/>
          <w:lang w:val="en-US" w:eastAsia="zh-CN"/>
        </w:rPr>
      </w:pPr>
      <w:r w:rsidRPr="00D86A80">
        <w:rPr>
          <w:rFonts w:ascii="Times New Roman" w:hAnsi="Times New Roman" w:eastAsiaTheme="minorEastAsia"/>
          <w:b/>
          <w:bCs/>
          <w:i/>
          <w:iCs/>
          <w:sz w:val="26"/>
          <w:szCs w:val="26"/>
          <w:lang w:val="en-US" w:eastAsia="zh-CN"/>
        </w:rPr>
        <w:t>GBEP Sustainability Indicators Data Entry Tool</w:t>
      </w:r>
    </w:p>
    <w:p w:rsidRPr="00D86A80" w:rsidR="3E4E2E65" w:rsidP="00D86A80" w:rsidRDefault="42957BA7" w14:paraId="476CD6A3" w14:textId="490F0F79">
      <w:pPr>
        <w:spacing w:after="200" w:line="276" w:lineRule="auto"/>
        <w:jc w:val="both"/>
        <w:rPr>
          <w:rFonts w:ascii="Times New Roman" w:hAnsi="Times New Roman" w:eastAsiaTheme="minorEastAsia"/>
          <w:b/>
          <w:sz w:val="24"/>
          <w:u w:val="single"/>
          <w:lang w:val="en-US" w:eastAsia="zh-CN"/>
        </w:rPr>
      </w:pPr>
      <w:r w:rsidRPr="00D86A80">
        <w:rPr>
          <w:rFonts w:ascii="Times New Roman" w:hAnsi="Times New Roman" w:eastAsiaTheme="minorEastAsia"/>
          <w:b/>
          <w:sz w:val="24"/>
          <w:u w:val="single"/>
          <w:lang w:val="en-US" w:eastAsia="zh-CN"/>
        </w:rPr>
        <w:t>Background</w:t>
      </w:r>
    </w:p>
    <w:p w:rsidRPr="00D86A80" w:rsidR="42957BA7" w:rsidP="00D86A80" w:rsidRDefault="42957BA7" w14:paraId="6C5AF2EF" w14:textId="0520815E">
      <w:pPr>
        <w:spacing w:after="200" w:line="276" w:lineRule="auto"/>
        <w:jc w:val="both"/>
        <w:rPr>
          <w:rFonts w:ascii="Times New Roman" w:hAnsi="Times New Roman" w:eastAsiaTheme="minorEastAsia"/>
          <w:sz w:val="23"/>
          <w:szCs w:val="23"/>
          <w:lang w:val="en-US" w:eastAsia="zh-CN"/>
        </w:rPr>
      </w:pPr>
      <w:r w:rsidRPr="00D86A80">
        <w:rPr>
          <w:rFonts w:ascii="Times New Roman" w:hAnsi="Times New Roman" w:eastAsiaTheme="minorEastAsia"/>
          <w:sz w:val="23"/>
          <w:szCs w:val="23"/>
          <w:lang w:val="en-US" w:eastAsia="zh-CN"/>
        </w:rPr>
        <w:t>At the 17th meeting of the Task Force on Sustainability (TFS) held in Rome on 29 October 2019, a discussion was held on the potential development of a ‘tool’ to aid in data collection for the measurement of the GBEP Sustainability Indicators (GSI). It was agreed that an integrated data collection sheet, that could work through excel, could be useful for understanding the overall data requirements for indicator measurement, systematising data collection, and ensuring data consistency.</w:t>
      </w:r>
    </w:p>
    <w:p w:rsidRPr="00D86A80" w:rsidR="42957BA7" w:rsidP="00D86A80" w:rsidRDefault="42957BA7" w14:paraId="029B3B06" w14:textId="16932026">
      <w:pPr>
        <w:spacing w:after="200" w:line="276" w:lineRule="auto"/>
        <w:jc w:val="both"/>
        <w:rPr>
          <w:rFonts w:ascii="Times New Roman" w:hAnsi="Times New Roman" w:eastAsiaTheme="minorEastAsia"/>
          <w:b/>
          <w:sz w:val="24"/>
          <w:u w:val="single"/>
          <w:lang w:val="en-US" w:eastAsia="zh-CN"/>
        </w:rPr>
      </w:pPr>
      <w:r w:rsidRPr="00D86A80">
        <w:rPr>
          <w:rFonts w:ascii="Times New Roman" w:hAnsi="Times New Roman" w:eastAsiaTheme="minorEastAsia"/>
          <w:b/>
          <w:sz w:val="24"/>
          <w:u w:val="single"/>
          <w:lang w:val="en-US" w:eastAsia="zh-CN"/>
        </w:rPr>
        <w:t>Scope</w:t>
      </w:r>
    </w:p>
    <w:p w:rsidRPr="00D86A80" w:rsidR="42957BA7" w:rsidP="00D86A80" w:rsidRDefault="42957BA7" w14:paraId="27FCC2BA" w14:textId="10839EA4">
      <w:pPr>
        <w:spacing w:after="200" w:line="276" w:lineRule="auto"/>
        <w:jc w:val="both"/>
        <w:rPr>
          <w:rFonts w:ascii="Times New Roman" w:hAnsi="Times New Roman" w:eastAsiaTheme="minorEastAsia"/>
          <w:sz w:val="23"/>
          <w:szCs w:val="23"/>
          <w:lang w:val="en-US" w:eastAsia="zh-CN"/>
        </w:rPr>
      </w:pPr>
      <w:r w:rsidRPr="00D86A80">
        <w:rPr>
          <w:rFonts w:ascii="Times New Roman" w:hAnsi="Times New Roman" w:eastAsiaTheme="minorEastAsia"/>
          <w:sz w:val="23"/>
          <w:szCs w:val="23"/>
          <w:lang w:val="en-US" w:eastAsia="zh-CN"/>
        </w:rPr>
        <w:t>The overall objective is to develop a data entry tool that can be used by countries when measuring the GSI</w:t>
      </w:r>
      <w:r w:rsidR="00A91AE7">
        <w:rPr>
          <w:rFonts w:ascii="Times New Roman" w:hAnsi="Times New Roman" w:eastAsiaTheme="minorEastAsia"/>
          <w:sz w:val="23"/>
          <w:szCs w:val="23"/>
          <w:lang w:val="en-US" w:eastAsia="zh-CN"/>
        </w:rPr>
        <w:t xml:space="preserve">. </w:t>
      </w:r>
      <w:r w:rsidRPr="00D86A80">
        <w:rPr>
          <w:rFonts w:ascii="Times New Roman" w:hAnsi="Times New Roman" w:eastAsiaTheme="minorEastAsia"/>
          <w:sz w:val="23"/>
          <w:szCs w:val="23"/>
          <w:lang w:val="en-US" w:eastAsia="zh-CN"/>
        </w:rPr>
        <w:t xml:space="preserve"> </w:t>
      </w:r>
      <w:r w:rsidR="00A91AE7">
        <w:rPr>
          <w:rFonts w:ascii="Times New Roman" w:hAnsi="Times New Roman" w:eastAsiaTheme="minorEastAsia"/>
          <w:sz w:val="23"/>
          <w:szCs w:val="23"/>
          <w:lang w:val="en-US" w:eastAsia="zh-CN"/>
        </w:rPr>
        <w:t xml:space="preserve">This data entry sheet </w:t>
      </w:r>
      <w:r w:rsidRPr="00D86A80">
        <w:rPr>
          <w:rFonts w:ascii="Times New Roman" w:hAnsi="Times New Roman" w:eastAsiaTheme="minorEastAsia"/>
          <w:sz w:val="23"/>
          <w:szCs w:val="23"/>
          <w:lang w:val="en-US" w:eastAsia="zh-CN"/>
        </w:rPr>
        <w:t>will be added as an Annex to the Implement</w:t>
      </w:r>
      <w:r w:rsidR="00A91AE7">
        <w:rPr>
          <w:rFonts w:ascii="Times New Roman" w:hAnsi="Times New Roman" w:eastAsiaTheme="minorEastAsia"/>
          <w:sz w:val="23"/>
          <w:szCs w:val="23"/>
          <w:lang w:val="en-US" w:eastAsia="zh-CN"/>
        </w:rPr>
        <w:t>ation Guide. I</w:t>
      </w:r>
      <w:r w:rsidRPr="00D86A80">
        <w:rPr>
          <w:rFonts w:ascii="Times New Roman" w:hAnsi="Times New Roman" w:eastAsiaTheme="minorEastAsia"/>
          <w:sz w:val="23"/>
          <w:szCs w:val="23"/>
          <w:lang w:val="en-US" w:eastAsia="zh-CN"/>
        </w:rPr>
        <w:t xml:space="preserve">t should be well adapted to all country contexts and their realities </w:t>
      </w:r>
      <w:r w:rsidR="00D86A80">
        <w:rPr>
          <w:rFonts w:ascii="Times New Roman" w:hAnsi="Times New Roman" w:eastAsiaTheme="minorEastAsia"/>
          <w:sz w:val="23"/>
          <w:szCs w:val="23"/>
          <w:lang w:val="en-US" w:eastAsia="zh-CN"/>
        </w:rPr>
        <w:t>in terms of bioenergy pathways.</w:t>
      </w:r>
    </w:p>
    <w:p w:rsidRPr="00D86A80" w:rsidR="42957BA7" w:rsidP="00D86A80" w:rsidRDefault="00D86A80" w14:paraId="40D17F10" w14:textId="71BC36CF">
      <w:pPr>
        <w:spacing w:after="200" w:line="276" w:lineRule="auto"/>
        <w:jc w:val="both"/>
        <w:rPr>
          <w:rFonts w:ascii="Times New Roman" w:hAnsi="Times New Roman" w:eastAsiaTheme="minorEastAsia"/>
          <w:b/>
          <w:sz w:val="24"/>
          <w:u w:val="single"/>
          <w:lang w:val="en-US" w:eastAsia="zh-CN"/>
        </w:rPr>
      </w:pPr>
      <w:r>
        <w:rPr>
          <w:rFonts w:ascii="Times New Roman" w:hAnsi="Times New Roman" w:eastAsiaTheme="minorEastAsia"/>
          <w:b/>
          <w:sz w:val="24"/>
          <w:u w:val="single"/>
          <w:lang w:val="en-US" w:eastAsia="zh-CN"/>
        </w:rPr>
        <w:t>Deliverables</w:t>
      </w:r>
    </w:p>
    <w:p w:rsidRPr="00D86A80" w:rsidR="42957BA7" w:rsidP="00D86A80" w:rsidRDefault="42957BA7" w14:paraId="31CCFE73" w14:textId="27192E85">
      <w:pPr>
        <w:spacing w:after="200" w:line="276" w:lineRule="auto"/>
        <w:jc w:val="both"/>
        <w:rPr>
          <w:rFonts w:ascii="Times New Roman" w:hAnsi="Times New Roman" w:eastAsiaTheme="minorEastAsia"/>
          <w:sz w:val="23"/>
          <w:szCs w:val="23"/>
          <w:lang w:val="en-US" w:eastAsia="zh-CN"/>
        </w:rPr>
      </w:pPr>
      <w:r w:rsidRPr="00D86A80">
        <w:rPr>
          <w:rFonts w:ascii="Times New Roman" w:hAnsi="Times New Roman" w:eastAsiaTheme="minorEastAsia"/>
          <w:sz w:val="23"/>
          <w:szCs w:val="23"/>
          <w:lang w:val="en-US" w:eastAsia="zh-CN"/>
        </w:rPr>
        <w:t>This work will inclu</w:t>
      </w:r>
      <w:r w:rsidR="00D86A80">
        <w:rPr>
          <w:rFonts w:ascii="Times New Roman" w:hAnsi="Times New Roman" w:eastAsiaTheme="minorEastAsia"/>
          <w:sz w:val="23"/>
          <w:szCs w:val="23"/>
          <w:lang w:val="en-US" w:eastAsia="zh-CN"/>
        </w:rPr>
        <w:t>de the following core deliverables</w:t>
      </w:r>
      <w:r w:rsidRPr="00D86A80">
        <w:rPr>
          <w:rFonts w:ascii="Times New Roman" w:hAnsi="Times New Roman" w:eastAsiaTheme="minorEastAsia"/>
          <w:sz w:val="23"/>
          <w:szCs w:val="23"/>
          <w:lang w:val="en-US" w:eastAsia="zh-CN"/>
        </w:rPr>
        <w:t>:</w:t>
      </w:r>
    </w:p>
    <w:p w:rsidRPr="00D86A80" w:rsidR="42957BA7" w:rsidP="00D86A80" w:rsidRDefault="42957BA7" w14:paraId="027269C8" w14:textId="062088B9">
      <w:pPr>
        <w:pStyle w:val="Paragrafoelenco"/>
        <w:numPr>
          <w:ilvl w:val="0"/>
          <w:numId w:val="3"/>
        </w:numPr>
        <w:spacing w:after="200" w:line="276" w:lineRule="auto"/>
        <w:jc w:val="both"/>
        <w:rPr>
          <w:rFonts w:ascii="Times New Roman" w:hAnsi="Times New Roman" w:eastAsiaTheme="minorEastAsia"/>
          <w:sz w:val="23"/>
          <w:szCs w:val="23"/>
          <w:lang w:val="en-US" w:eastAsia="zh-CN"/>
        </w:rPr>
      </w:pPr>
      <w:r w:rsidRPr="00D86A80">
        <w:rPr>
          <w:rFonts w:ascii="Times New Roman" w:hAnsi="Times New Roman" w:eastAsiaTheme="minorEastAsia"/>
          <w:sz w:val="23"/>
          <w:szCs w:val="23"/>
          <w:lang w:val="en-US" w:eastAsia="zh-CN"/>
        </w:rPr>
        <w:t>Identification of the data requirements for each indicator (including where there are multiple methodologies);</w:t>
      </w:r>
    </w:p>
    <w:p w:rsidRPr="00D86A80" w:rsidR="42957BA7" w:rsidP="00D86A80" w:rsidRDefault="42957BA7" w14:paraId="3AE67427" w14:textId="7053C7DF">
      <w:pPr>
        <w:pStyle w:val="Paragrafoelenco"/>
        <w:numPr>
          <w:ilvl w:val="0"/>
          <w:numId w:val="3"/>
        </w:numPr>
        <w:spacing w:after="200" w:line="276" w:lineRule="auto"/>
        <w:jc w:val="both"/>
        <w:rPr>
          <w:rFonts w:ascii="Times New Roman" w:hAnsi="Times New Roman" w:eastAsiaTheme="minorEastAsia"/>
          <w:sz w:val="23"/>
          <w:szCs w:val="23"/>
          <w:lang w:val="en-US" w:eastAsia="zh-CN"/>
        </w:rPr>
      </w:pPr>
      <w:r w:rsidRPr="00D86A80">
        <w:rPr>
          <w:rFonts w:ascii="Times New Roman" w:hAnsi="Times New Roman" w:eastAsiaTheme="minorEastAsia"/>
          <w:sz w:val="23"/>
          <w:szCs w:val="23"/>
          <w:lang w:val="en-US" w:eastAsia="zh-CN"/>
        </w:rPr>
        <w:t>Recognition of the common data across multiple indicators (building on the information on data consistency already present in the Implementation Guide);</w:t>
      </w:r>
    </w:p>
    <w:p w:rsidRPr="00D86A80" w:rsidR="42957BA7" w:rsidP="00D86A80" w:rsidRDefault="42957BA7" w14:paraId="2BD36358" w14:textId="14E829AC">
      <w:pPr>
        <w:pStyle w:val="Paragrafoelenco"/>
        <w:numPr>
          <w:ilvl w:val="0"/>
          <w:numId w:val="3"/>
        </w:numPr>
        <w:spacing w:after="200" w:line="276" w:lineRule="auto"/>
        <w:jc w:val="both"/>
        <w:rPr>
          <w:rFonts w:ascii="Times New Roman" w:hAnsi="Times New Roman" w:eastAsiaTheme="minorEastAsia"/>
          <w:sz w:val="23"/>
          <w:szCs w:val="23"/>
          <w:lang w:val="en-US" w:eastAsia="zh-CN"/>
        </w:rPr>
      </w:pPr>
      <w:r w:rsidRPr="00D86A80">
        <w:rPr>
          <w:rFonts w:ascii="Times New Roman" w:hAnsi="Times New Roman" w:eastAsiaTheme="minorEastAsia"/>
          <w:sz w:val="23"/>
          <w:szCs w:val="23"/>
          <w:lang w:val="en-US" w:eastAsia="zh-CN"/>
        </w:rPr>
        <w:t>Discussion and agreement on how to ensure that the data entry sheet will be adaptable to all country contexts where different methodologies are used; and</w:t>
      </w:r>
    </w:p>
    <w:p w:rsidRPr="00D86A80" w:rsidR="42957BA7" w:rsidP="00D86A80" w:rsidRDefault="42957BA7" w14:paraId="75EE7638" w14:textId="660F918A">
      <w:pPr>
        <w:pStyle w:val="Paragrafoelenco"/>
        <w:numPr>
          <w:ilvl w:val="0"/>
          <w:numId w:val="3"/>
        </w:numPr>
        <w:spacing w:after="200" w:line="276" w:lineRule="auto"/>
        <w:jc w:val="both"/>
        <w:rPr>
          <w:rFonts w:ascii="Times New Roman" w:hAnsi="Times New Roman" w:eastAsiaTheme="minorEastAsia"/>
          <w:sz w:val="23"/>
          <w:szCs w:val="23"/>
          <w:lang w:val="en-US" w:eastAsia="zh-CN"/>
        </w:rPr>
      </w:pPr>
      <w:r w:rsidRPr="00D86A80">
        <w:rPr>
          <w:rFonts w:ascii="Times New Roman" w:hAnsi="Times New Roman" w:eastAsiaTheme="minorEastAsia"/>
          <w:sz w:val="23"/>
          <w:szCs w:val="23"/>
          <w:lang w:val="en-US" w:eastAsia="zh-CN"/>
        </w:rPr>
        <w:t>Development of an excel spreadsheet for data entry.</w:t>
      </w:r>
    </w:p>
    <w:p w:rsidRPr="00D86A80" w:rsidR="42957BA7" w:rsidP="41C77B95" w:rsidRDefault="42957BA7" w14:paraId="576CBA72" w14:textId="52D7AFA0">
      <w:pPr>
        <w:spacing w:after="200" w:line="276" w:lineRule="auto"/>
        <w:jc w:val="both"/>
        <w:rPr>
          <w:rFonts w:ascii="Times New Roman" w:hAnsi="Times New Roman" w:eastAsia="" w:eastAsiaTheme="minorEastAsia"/>
          <w:sz w:val="23"/>
          <w:szCs w:val="23"/>
          <w:lang w:val="en-US" w:eastAsia="zh-CN"/>
        </w:rPr>
      </w:pPr>
      <w:r w:rsidRPr="41C77B95" w:rsidR="41C77B95">
        <w:rPr>
          <w:rFonts w:ascii="Times New Roman" w:hAnsi="Times New Roman" w:eastAsia="" w:eastAsiaTheme="minorEastAsia"/>
          <w:sz w:val="23"/>
          <w:szCs w:val="23"/>
          <w:lang w:val="en-US" w:eastAsia="zh-CN"/>
        </w:rPr>
        <w:t>In the future, the group may also pilot test the data entry sheet in one or more countries to confirm the utility of sheet in different contexts and refine any problems</w:t>
      </w:r>
      <w:r w:rsidRPr="41C77B95" w:rsidR="41C77B95">
        <w:rPr>
          <w:rFonts w:ascii="Times New Roman" w:hAnsi="Times New Roman" w:eastAsia="" w:eastAsiaTheme="minorEastAsia"/>
          <w:sz w:val="23"/>
          <w:szCs w:val="23"/>
          <w:lang w:val="en-US" w:eastAsia="zh-CN"/>
        </w:rPr>
        <w:t xml:space="preserve"> in light of the lessons learnt</w:t>
      </w:r>
      <w:r w:rsidRPr="41C77B95" w:rsidR="41C77B95">
        <w:rPr>
          <w:rFonts w:ascii="Times New Roman" w:hAnsi="Times New Roman" w:eastAsia="" w:eastAsiaTheme="minorEastAsia"/>
          <w:sz w:val="23"/>
          <w:szCs w:val="23"/>
          <w:lang w:val="en-US" w:eastAsia="zh-CN"/>
        </w:rPr>
        <w:t>.</w:t>
      </w:r>
    </w:p>
    <w:p w:rsidRPr="00D86A80" w:rsidR="42957BA7" w:rsidP="00D86A80" w:rsidRDefault="42957BA7" w14:paraId="2F27544E" w14:textId="6BC39E01">
      <w:pPr>
        <w:spacing w:after="200" w:line="276" w:lineRule="auto"/>
        <w:jc w:val="both"/>
        <w:rPr>
          <w:rFonts w:ascii="Times New Roman" w:hAnsi="Times New Roman" w:eastAsiaTheme="minorEastAsia"/>
          <w:b/>
          <w:sz w:val="24"/>
          <w:u w:val="single"/>
          <w:lang w:val="en-US" w:eastAsia="zh-CN"/>
        </w:rPr>
      </w:pPr>
      <w:r w:rsidRPr="00D86A80">
        <w:rPr>
          <w:rFonts w:ascii="Times New Roman" w:hAnsi="Times New Roman" w:eastAsiaTheme="minorEastAsia"/>
          <w:b/>
          <w:sz w:val="24"/>
          <w:u w:val="single"/>
          <w:lang w:val="en-US" w:eastAsia="zh-CN"/>
        </w:rPr>
        <w:t>Work modalities and time frame</w:t>
      </w:r>
    </w:p>
    <w:p w:rsidRPr="00D86A80" w:rsidR="42957BA7" w:rsidP="41C77B95" w:rsidRDefault="42957BA7" w14:paraId="2C700742" w14:textId="2B84D8C6">
      <w:pPr>
        <w:spacing w:after="200" w:line="276" w:lineRule="auto"/>
        <w:jc w:val="both"/>
        <w:rPr>
          <w:rFonts w:ascii="Times New Roman" w:hAnsi="Times New Roman" w:eastAsia="" w:eastAsiaTheme="minorEastAsia"/>
          <w:sz w:val="23"/>
          <w:szCs w:val="23"/>
          <w:lang w:val="en-US" w:eastAsia="zh-CN"/>
        </w:rPr>
      </w:pPr>
      <w:r w:rsidRPr="41C77B95" w:rsidR="41C77B95">
        <w:rPr>
          <w:rFonts w:ascii="Times New Roman" w:hAnsi="Times New Roman" w:eastAsia="" w:eastAsiaTheme="minorEastAsia"/>
          <w:sz w:val="23"/>
          <w:szCs w:val="23"/>
          <w:lang w:val="en-US" w:eastAsia="zh-CN"/>
        </w:rPr>
        <w:t>GBEP Partners and Observers that</w:t>
      </w:r>
      <w:r w:rsidRPr="41C77B95" w:rsidR="41C77B95">
        <w:rPr>
          <w:rFonts w:ascii="Times New Roman" w:hAnsi="Times New Roman" w:eastAsia="" w:eastAsiaTheme="minorEastAsia"/>
          <w:sz w:val="23"/>
          <w:szCs w:val="23"/>
          <w:lang w:val="en-US" w:eastAsia="zh-CN"/>
        </w:rPr>
        <w:t xml:space="preserve"> have already implemented the GSI will contribute to this work, </w:t>
      </w:r>
      <w:r w:rsidRPr="41C77B95" w:rsidR="41C77B95">
        <w:rPr>
          <w:rFonts w:ascii="Times New Roman" w:hAnsi="Times New Roman" w:eastAsia="" w:eastAsiaTheme="minorEastAsia"/>
          <w:sz w:val="23"/>
          <w:szCs w:val="23"/>
          <w:lang w:val="en-US" w:eastAsia="zh-CN"/>
        </w:rPr>
        <w:t>under the coordination of</w:t>
      </w:r>
      <w:r w:rsidRPr="41C77B95" w:rsidR="41C77B95">
        <w:rPr>
          <w:rFonts w:ascii="Times New Roman" w:hAnsi="Times New Roman" w:eastAsia="" w:eastAsiaTheme="minorEastAsia"/>
          <w:sz w:val="23"/>
          <w:szCs w:val="23"/>
          <w:lang w:val="en-US" w:eastAsia="zh-CN"/>
        </w:rPr>
        <w:t xml:space="preserve"> Takashi Hayashi </w:t>
      </w:r>
      <w:r w:rsidRPr="41C77B95" w:rsidR="41C77B95">
        <w:rPr>
          <w:rFonts w:ascii="Times New Roman" w:hAnsi="Times New Roman" w:eastAsia="" w:eastAsiaTheme="minorEastAsia"/>
          <w:sz w:val="23"/>
          <w:szCs w:val="23"/>
          <w:lang w:val="en-US" w:eastAsia="zh-CN"/>
        </w:rPr>
        <w:t>(</w:t>
      </w:r>
      <w:r w:rsidRPr="41C77B95" w:rsidR="41C77B95">
        <w:rPr>
          <w:rFonts w:ascii="Times New Roman" w:hAnsi="Times New Roman" w:eastAsia="" w:eastAsiaTheme="minorEastAsia"/>
          <w:sz w:val="23"/>
          <w:szCs w:val="23"/>
          <w:lang w:val="en-US" w:eastAsia="zh-CN"/>
        </w:rPr>
        <w:t>Japan</w:t>
      </w:r>
      <w:r w:rsidRPr="41C77B95" w:rsidR="41C77B95">
        <w:rPr>
          <w:rFonts w:ascii="Times New Roman" w:hAnsi="Times New Roman" w:eastAsia="" w:eastAsiaTheme="minorEastAsia"/>
          <w:sz w:val="23"/>
          <w:szCs w:val="23"/>
          <w:lang w:val="en-US" w:eastAsia="zh-CN"/>
        </w:rPr>
        <w:t>)</w:t>
      </w:r>
      <w:r w:rsidRPr="41C77B95" w:rsidR="41C77B95">
        <w:rPr>
          <w:rFonts w:ascii="Times New Roman" w:hAnsi="Times New Roman" w:eastAsia="" w:eastAsiaTheme="minorEastAsia"/>
          <w:sz w:val="23"/>
          <w:szCs w:val="23"/>
          <w:lang w:val="en-US" w:eastAsia="zh-CN"/>
        </w:rPr>
        <w:t>. The work will primarily be carried out virtually</w:t>
      </w:r>
      <w:r w:rsidRPr="41C77B95" w:rsidR="41C77B95">
        <w:rPr>
          <w:rFonts w:ascii="Times New Roman" w:hAnsi="Times New Roman" w:eastAsia="" w:eastAsiaTheme="minorEastAsia"/>
          <w:sz w:val="23"/>
          <w:szCs w:val="23"/>
          <w:lang w:val="en-US" w:eastAsia="zh-CN"/>
        </w:rPr>
        <w:t>,</w:t>
      </w:r>
      <w:r w:rsidRPr="41C77B95" w:rsidR="41C77B95">
        <w:rPr>
          <w:rFonts w:ascii="Times New Roman" w:hAnsi="Times New Roman" w:eastAsia="" w:eastAsiaTheme="minorEastAsia"/>
          <w:sz w:val="23"/>
          <w:szCs w:val="23"/>
          <w:lang w:val="en-US" w:eastAsia="zh-CN"/>
        </w:rPr>
        <w:t xml:space="preserve"> through email exchanges and teleconferences.</w:t>
      </w:r>
      <w:bookmarkStart w:name="_GoBack" w:id="0"/>
      <w:bookmarkEnd w:id="0"/>
    </w:p>
    <w:p w:rsidRPr="00D86A80" w:rsidR="42957BA7" w:rsidP="41C77B95" w:rsidRDefault="42957BA7" w14:paraId="4D45CBEB" w14:textId="3566A447" w14:noSpellErr="1">
      <w:pPr>
        <w:spacing w:after="200" w:line="276" w:lineRule="auto"/>
        <w:jc w:val="both"/>
        <w:rPr>
          <w:rFonts w:ascii="Times New Roman" w:hAnsi="Times New Roman" w:eastAsia="" w:eastAsiaTheme="minorEastAsia"/>
          <w:sz w:val="23"/>
          <w:szCs w:val="23"/>
          <w:lang w:val="en-US" w:eastAsia="zh-CN"/>
        </w:rPr>
      </w:pPr>
      <w:r w:rsidRPr="41C77B95" w:rsidR="41C77B95">
        <w:rPr>
          <w:rFonts w:ascii="Times New Roman" w:hAnsi="Times New Roman" w:eastAsia="" w:eastAsiaTheme="minorEastAsia"/>
          <w:sz w:val="23"/>
          <w:szCs w:val="23"/>
          <w:lang w:val="en-US" w:eastAsia="zh-CN"/>
        </w:rPr>
        <w:t xml:space="preserve">The first version of the data entry sheet is proposed to be finalised, ready for testing, by </w:t>
      </w:r>
      <w:r w:rsidRPr="41C77B95" w:rsidR="41C77B95">
        <w:rPr>
          <w:rFonts w:ascii="Times New Roman" w:hAnsi="Times New Roman" w:eastAsia="" w:eastAsiaTheme="minorEastAsia"/>
          <w:sz w:val="23"/>
          <w:szCs w:val="23"/>
          <w:lang w:val="en-US" w:eastAsia="zh-CN"/>
        </w:rPr>
        <w:t>October 2020</w:t>
      </w:r>
      <w:r w:rsidRPr="41C77B95" w:rsidR="41C77B95">
        <w:rPr>
          <w:rFonts w:ascii="Times New Roman" w:hAnsi="Times New Roman" w:eastAsia="" w:eastAsiaTheme="minorEastAsia"/>
          <w:sz w:val="23"/>
          <w:szCs w:val="23"/>
          <w:lang w:val="en-US" w:eastAsia="zh-CN"/>
        </w:rPr>
        <w:t>.</w:t>
      </w:r>
    </w:p>
    <w:p w:rsidRPr="00D86A80" w:rsidR="3E4E2E65" w:rsidP="3E4E2E65" w:rsidRDefault="3E4E2E65" w14:paraId="4EAF8F86" w14:textId="08A6197B">
      <w:pPr>
        <w:rPr>
          <w:lang w:val="en-GB"/>
        </w:rPr>
      </w:pPr>
    </w:p>
    <w:sectPr w:rsidRPr="00D86A80" w:rsidR="3E4E2E65">
      <w:headerReference w:type="default" r:id="rId8"/>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441" w:rsidP="00D86A80" w:rsidRDefault="00363441" w14:paraId="12F799BE" w14:textId="77777777">
      <w:pPr>
        <w:spacing w:after="0" w:line="240" w:lineRule="auto"/>
      </w:pPr>
      <w:r>
        <w:separator/>
      </w:r>
    </w:p>
  </w:endnote>
  <w:endnote w:type="continuationSeparator" w:id="0">
    <w:p w:rsidR="00363441" w:rsidP="00D86A80" w:rsidRDefault="00363441" w14:paraId="6D52392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441" w:rsidP="00D86A80" w:rsidRDefault="00363441" w14:paraId="7060FC3B" w14:textId="77777777">
      <w:pPr>
        <w:spacing w:after="0" w:line="240" w:lineRule="auto"/>
      </w:pPr>
      <w:r>
        <w:separator/>
      </w:r>
    </w:p>
  </w:footnote>
  <w:footnote w:type="continuationSeparator" w:id="0">
    <w:p w:rsidR="00363441" w:rsidP="00D86A80" w:rsidRDefault="00363441" w14:paraId="0733985E"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p w:rsidR="00D86A80" w:rsidRDefault="00D86A80" w14:paraId="6F2FD4A0" w14:textId="787521E9">
    <w:pPr>
      <w:pStyle w:val="Intestazione"/>
    </w:pPr>
    <w:r>
      <w:rPr>
        <w:noProof/>
        <w:lang w:eastAsia="it-IT"/>
      </w:rPr>
      <w:drawing>
        <wp:inline distT="0" distB="0" distL="0" distR="0" wp14:anchorId="40A2F123" wp14:editId="1D1A148A">
          <wp:extent cx="5731510" cy="630099"/>
          <wp:effectExtent l="0" t="0" r="254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31510" cy="6300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4FA3"/>
    <w:multiLevelType w:val="hybridMultilevel"/>
    <w:tmpl w:val="C3205F4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nsid w:val="091A5F72"/>
    <w:multiLevelType w:val="hybridMultilevel"/>
    <w:tmpl w:val="A5E81DF4"/>
    <w:lvl w:ilvl="0" w:tplc="A446AE98">
      <w:start w:val="1"/>
      <w:numFmt w:val="bullet"/>
      <w:lvlText w:val=""/>
      <w:lvlJc w:val="left"/>
      <w:pPr>
        <w:ind w:left="720" w:hanging="360"/>
      </w:pPr>
      <w:rPr>
        <w:rFonts w:hint="default" w:ascii="Symbol" w:hAnsi="Symbol"/>
      </w:rPr>
    </w:lvl>
    <w:lvl w:ilvl="1" w:tplc="B1E65594">
      <w:start w:val="1"/>
      <w:numFmt w:val="bullet"/>
      <w:lvlText w:val="o"/>
      <w:lvlJc w:val="left"/>
      <w:pPr>
        <w:ind w:left="1440" w:hanging="360"/>
      </w:pPr>
      <w:rPr>
        <w:rFonts w:hint="default" w:ascii="Courier New" w:hAnsi="Courier New"/>
      </w:rPr>
    </w:lvl>
    <w:lvl w:ilvl="2" w:tplc="60F8A78A">
      <w:start w:val="1"/>
      <w:numFmt w:val="bullet"/>
      <w:lvlText w:val=""/>
      <w:lvlJc w:val="left"/>
      <w:pPr>
        <w:ind w:left="2160" w:hanging="360"/>
      </w:pPr>
      <w:rPr>
        <w:rFonts w:hint="default" w:ascii="Wingdings" w:hAnsi="Wingdings"/>
      </w:rPr>
    </w:lvl>
    <w:lvl w:ilvl="3" w:tplc="DC8C9C1E">
      <w:start w:val="1"/>
      <w:numFmt w:val="bullet"/>
      <w:lvlText w:val=""/>
      <w:lvlJc w:val="left"/>
      <w:pPr>
        <w:ind w:left="2880" w:hanging="360"/>
      </w:pPr>
      <w:rPr>
        <w:rFonts w:hint="default" w:ascii="Symbol" w:hAnsi="Symbol"/>
      </w:rPr>
    </w:lvl>
    <w:lvl w:ilvl="4" w:tplc="BB58B756">
      <w:start w:val="1"/>
      <w:numFmt w:val="bullet"/>
      <w:lvlText w:val="o"/>
      <w:lvlJc w:val="left"/>
      <w:pPr>
        <w:ind w:left="3600" w:hanging="360"/>
      </w:pPr>
      <w:rPr>
        <w:rFonts w:hint="default" w:ascii="Courier New" w:hAnsi="Courier New"/>
      </w:rPr>
    </w:lvl>
    <w:lvl w:ilvl="5" w:tplc="06D6A358">
      <w:start w:val="1"/>
      <w:numFmt w:val="bullet"/>
      <w:lvlText w:val=""/>
      <w:lvlJc w:val="left"/>
      <w:pPr>
        <w:ind w:left="4320" w:hanging="360"/>
      </w:pPr>
      <w:rPr>
        <w:rFonts w:hint="default" w:ascii="Wingdings" w:hAnsi="Wingdings"/>
      </w:rPr>
    </w:lvl>
    <w:lvl w:ilvl="6" w:tplc="06C65616">
      <w:start w:val="1"/>
      <w:numFmt w:val="bullet"/>
      <w:lvlText w:val=""/>
      <w:lvlJc w:val="left"/>
      <w:pPr>
        <w:ind w:left="5040" w:hanging="360"/>
      </w:pPr>
      <w:rPr>
        <w:rFonts w:hint="default" w:ascii="Symbol" w:hAnsi="Symbol"/>
      </w:rPr>
    </w:lvl>
    <w:lvl w:ilvl="7" w:tplc="25605394">
      <w:start w:val="1"/>
      <w:numFmt w:val="bullet"/>
      <w:lvlText w:val="o"/>
      <w:lvlJc w:val="left"/>
      <w:pPr>
        <w:ind w:left="5760" w:hanging="360"/>
      </w:pPr>
      <w:rPr>
        <w:rFonts w:hint="default" w:ascii="Courier New" w:hAnsi="Courier New"/>
      </w:rPr>
    </w:lvl>
    <w:lvl w:ilvl="8" w:tplc="D034D05E">
      <w:start w:val="1"/>
      <w:numFmt w:val="bullet"/>
      <w:lvlText w:val=""/>
      <w:lvlJc w:val="left"/>
      <w:pPr>
        <w:ind w:left="6480" w:hanging="360"/>
      </w:pPr>
      <w:rPr>
        <w:rFonts w:hint="default" w:ascii="Wingdings" w:hAnsi="Wingdings"/>
      </w:rPr>
    </w:lvl>
  </w:abstractNum>
  <w:abstractNum w:abstractNumId="2">
    <w:nsid w:val="667B59F5"/>
    <w:multiLevelType w:val="hybridMultilevel"/>
    <w:tmpl w:val="BA8C0614"/>
    <w:lvl w:ilvl="0" w:tplc="830CEFB6">
      <w:start w:val="1"/>
      <w:numFmt w:val="bullet"/>
      <w:lvlText w:val=""/>
      <w:lvlJc w:val="left"/>
      <w:pPr>
        <w:ind w:left="720" w:hanging="360"/>
      </w:pPr>
      <w:rPr>
        <w:rFonts w:hint="default" w:ascii="Symbol" w:hAnsi="Symbol"/>
      </w:rPr>
    </w:lvl>
    <w:lvl w:ilvl="1" w:tplc="CCC4F596">
      <w:start w:val="1"/>
      <w:numFmt w:val="bullet"/>
      <w:lvlText w:val="o"/>
      <w:lvlJc w:val="left"/>
      <w:pPr>
        <w:ind w:left="1440" w:hanging="360"/>
      </w:pPr>
      <w:rPr>
        <w:rFonts w:hint="default" w:ascii="Courier New" w:hAnsi="Courier New"/>
      </w:rPr>
    </w:lvl>
    <w:lvl w:ilvl="2" w:tplc="2AFC5CDE">
      <w:start w:val="1"/>
      <w:numFmt w:val="bullet"/>
      <w:lvlText w:val=""/>
      <w:lvlJc w:val="left"/>
      <w:pPr>
        <w:ind w:left="2160" w:hanging="360"/>
      </w:pPr>
      <w:rPr>
        <w:rFonts w:hint="default" w:ascii="Wingdings" w:hAnsi="Wingdings"/>
      </w:rPr>
    </w:lvl>
    <w:lvl w:ilvl="3" w:tplc="1E645FB4">
      <w:start w:val="1"/>
      <w:numFmt w:val="bullet"/>
      <w:lvlText w:val=""/>
      <w:lvlJc w:val="left"/>
      <w:pPr>
        <w:ind w:left="2880" w:hanging="360"/>
      </w:pPr>
      <w:rPr>
        <w:rFonts w:hint="default" w:ascii="Symbol" w:hAnsi="Symbol"/>
      </w:rPr>
    </w:lvl>
    <w:lvl w:ilvl="4" w:tplc="E0328D6E">
      <w:start w:val="1"/>
      <w:numFmt w:val="bullet"/>
      <w:lvlText w:val="o"/>
      <w:lvlJc w:val="left"/>
      <w:pPr>
        <w:ind w:left="3600" w:hanging="360"/>
      </w:pPr>
      <w:rPr>
        <w:rFonts w:hint="default" w:ascii="Courier New" w:hAnsi="Courier New"/>
      </w:rPr>
    </w:lvl>
    <w:lvl w:ilvl="5" w:tplc="1FF6A040">
      <w:start w:val="1"/>
      <w:numFmt w:val="bullet"/>
      <w:lvlText w:val=""/>
      <w:lvlJc w:val="left"/>
      <w:pPr>
        <w:ind w:left="4320" w:hanging="360"/>
      </w:pPr>
      <w:rPr>
        <w:rFonts w:hint="default" w:ascii="Wingdings" w:hAnsi="Wingdings"/>
      </w:rPr>
    </w:lvl>
    <w:lvl w:ilvl="6" w:tplc="26084384">
      <w:start w:val="1"/>
      <w:numFmt w:val="bullet"/>
      <w:lvlText w:val=""/>
      <w:lvlJc w:val="left"/>
      <w:pPr>
        <w:ind w:left="5040" w:hanging="360"/>
      </w:pPr>
      <w:rPr>
        <w:rFonts w:hint="default" w:ascii="Symbol" w:hAnsi="Symbol"/>
      </w:rPr>
    </w:lvl>
    <w:lvl w:ilvl="7" w:tplc="7A4A0526">
      <w:start w:val="1"/>
      <w:numFmt w:val="bullet"/>
      <w:lvlText w:val="o"/>
      <w:lvlJc w:val="left"/>
      <w:pPr>
        <w:ind w:left="5760" w:hanging="360"/>
      </w:pPr>
      <w:rPr>
        <w:rFonts w:hint="default" w:ascii="Courier New" w:hAnsi="Courier New"/>
      </w:rPr>
    </w:lvl>
    <w:lvl w:ilvl="8" w:tplc="C9DA343A">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E821AA"/>
    <w:rsid w:val="00363441"/>
    <w:rsid w:val="00A91AE7"/>
    <w:rsid w:val="00D86A80"/>
    <w:rsid w:val="24E821AA"/>
    <w:rsid w:val="3E4E2E65"/>
    <w:rsid w:val="41C77B95"/>
    <w:rsid w:val="42957B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69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style>
  <w:style w:type="paragraph" w:styleId="Titolo1">
    <w:name w:val="heading 1"/>
    <w:basedOn w:val="Normale"/>
    <w:next w:val="Normale"/>
    <w:link w:val="Titolo1Carattere"/>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Carattere" w:customStyle="1">
    <w:name w:val="Titolo Carattere"/>
    <w:basedOn w:val="Carpredefinitoparagrafo"/>
    <w:link w:val="Titolo"/>
    <w:uiPriority w:val="10"/>
    <w:rPr>
      <w:rFonts w:asciiTheme="majorHAnsi" w:hAnsiTheme="majorHAnsi" w:eastAsiaTheme="majorEastAsia" w:cstheme="majorBidi"/>
      <w:spacing w:val="-10"/>
      <w:kern w:val="28"/>
      <w:sz w:val="56"/>
      <w:szCs w:val="56"/>
    </w:rPr>
  </w:style>
  <w:style w:type="paragraph" w:styleId="Titolo">
    <w:name w:val="Title"/>
    <w:basedOn w:val="Normale"/>
    <w:next w:val="Normale"/>
    <w:link w:val="TitoloCarattere"/>
    <w:uiPriority w:val="10"/>
    <w:qFormat/>
    <w:pPr>
      <w:spacing w:after="0" w:line="240" w:lineRule="auto"/>
      <w:contextualSpacing/>
    </w:pPr>
    <w:rPr>
      <w:rFonts w:asciiTheme="majorHAnsi" w:hAnsiTheme="majorHAnsi" w:eastAsiaTheme="majorEastAsia" w:cstheme="majorBidi"/>
      <w:spacing w:val="-10"/>
      <w:kern w:val="28"/>
      <w:sz w:val="56"/>
      <w:szCs w:val="56"/>
    </w:rPr>
  </w:style>
  <w:style w:type="character" w:styleId="SottotitoloCarattere" w:customStyle="1">
    <w:name w:val="Sottotitolo Carattere"/>
    <w:basedOn w:val="Carpredefinitoparagrafo"/>
    <w:link w:val="Sottotitolo"/>
    <w:uiPriority w:val="11"/>
    <w:rPr>
      <w:rFonts w:eastAsiaTheme="minorEastAsia"/>
      <w:color w:val="5A5A5A" w:themeColor="text1" w:themeTint="A5"/>
      <w:spacing w:val="15"/>
    </w:rPr>
  </w:style>
  <w:style w:type="paragraph" w:styleId="Sottotitolo">
    <w:name w:val="Subtitle"/>
    <w:basedOn w:val="Normale"/>
    <w:next w:val="Normale"/>
    <w:link w:val="SottotitoloCarattere"/>
    <w:uiPriority w:val="11"/>
    <w:qFormat/>
    <w:pPr>
      <w:numPr>
        <w:ilvl w:val="1"/>
      </w:numPr>
    </w:pPr>
    <w:rPr>
      <w:rFonts w:eastAsiaTheme="minorEastAsia"/>
      <w:color w:val="5A5A5A" w:themeColor="text1" w:themeTint="A5"/>
      <w:spacing w:val="15"/>
    </w:rPr>
  </w:style>
  <w:style w:type="character" w:styleId="Titolo1Carattere" w:customStyle="1">
    <w:name w:val="Titolo 1 Carattere"/>
    <w:basedOn w:val="Carpredefinitoparagrafo"/>
    <w:link w:val="Titolo1"/>
    <w:uiPriority w:val="9"/>
    <w:rPr>
      <w:rFonts w:asciiTheme="majorHAnsi" w:hAnsiTheme="majorHAnsi" w:eastAsiaTheme="majorEastAsia" w:cstheme="majorBidi"/>
      <w:color w:val="2F5496" w:themeColor="accent1" w:themeShade="BF"/>
      <w:sz w:val="32"/>
      <w:szCs w:val="32"/>
    </w:rPr>
  </w:style>
  <w:style w:type="paragraph" w:styleId="Paragrafoelenco">
    <w:name w:val="List Paragraph"/>
    <w:basedOn w:val="Normale"/>
    <w:uiPriority w:val="34"/>
    <w:qFormat/>
    <w:pPr>
      <w:ind w:left="720"/>
      <w:contextualSpacing/>
    </w:pPr>
  </w:style>
  <w:style w:type="paragraph" w:styleId="Intestazione">
    <w:name w:val="header"/>
    <w:basedOn w:val="Normale"/>
    <w:link w:val="IntestazioneCarattere"/>
    <w:uiPriority w:val="99"/>
    <w:unhideWhenUsed/>
    <w:rsid w:val="00D86A80"/>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D86A80"/>
  </w:style>
  <w:style w:type="paragraph" w:styleId="Pidipagina">
    <w:name w:val="footer"/>
    <w:basedOn w:val="Normale"/>
    <w:link w:val="PidipaginaCarattere"/>
    <w:uiPriority w:val="99"/>
    <w:unhideWhenUsed/>
    <w:rsid w:val="00D86A80"/>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D86A80"/>
  </w:style>
  <w:style w:type="paragraph" w:styleId="Testofumetto">
    <w:name w:val="Balloon Text"/>
    <w:basedOn w:val="Normale"/>
    <w:link w:val="TestofumettoCarattere"/>
    <w:uiPriority w:val="99"/>
    <w:semiHidden/>
    <w:unhideWhenUsed/>
    <w:rsid w:val="00D86A80"/>
    <w:pPr>
      <w:spacing w:after="0" w:line="240" w:lineRule="auto"/>
    </w:pPr>
    <w:rPr>
      <w:rFonts w:ascii="Tahoma" w:hAnsi="Tahoma" w:cs="Tahoma"/>
      <w:sz w:val="16"/>
      <w:szCs w:val="16"/>
    </w:rPr>
  </w:style>
  <w:style w:type="character" w:styleId="TestofumettoCarattere" w:customStyle="1">
    <w:name w:val="Testo fumetto Carattere"/>
    <w:basedOn w:val="Carpredefinitoparagrafo"/>
    <w:link w:val="Testofumetto"/>
    <w:uiPriority w:val="99"/>
    <w:semiHidden/>
    <w:rsid w:val="00D86A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Carattere">
    <w:name w:val="Titolo Carattere"/>
    <w:basedOn w:val="Carpredefinitoparagrafo"/>
    <w:link w:val="Titolo"/>
    <w:uiPriority w:val="10"/>
    <w:rPr>
      <w:rFonts w:asciiTheme="majorHAnsi" w:eastAsiaTheme="majorEastAsia" w:hAnsiTheme="majorHAnsi" w:cstheme="majorBidi"/>
      <w:spacing w:val="-10"/>
      <w:kern w:val="28"/>
      <w:sz w:val="56"/>
      <w:szCs w:val="56"/>
    </w:rPr>
  </w:style>
  <w:style w:type="paragraph" w:styleId="Titolo">
    <w:name w:val="Title"/>
    <w:basedOn w:val="Normale"/>
    <w:next w:val="Normale"/>
    <w:link w:val="TitoloCarattere"/>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SottotitoloCarattere">
    <w:name w:val="Sottotitolo Carattere"/>
    <w:basedOn w:val="Carpredefinitoparagrafo"/>
    <w:link w:val="Sottotitolo"/>
    <w:uiPriority w:val="11"/>
    <w:rPr>
      <w:rFonts w:eastAsiaTheme="minorEastAsia"/>
      <w:color w:val="5A5A5A" w:themeColor="text1" w:themeTint="A5"/>
      <w:spacing w:val="15"/>
    </w:rPr>
  </w:style>
  <w:style w:type="paragraph" w:styleId="Sottotitolo">
    <w:name w:val="Subtitle"/>
    <w:basedOn w:val="Normale"/>
    <w:next w:val="Normale"/>
    <w:link w:val="SottotitoloCarattere"/>
    <w:uiPriority w:val="11"/>
    <w:qFormat/>
    <w:pPr>
      <w:numPr>
        <w:ilvl w:val="1"/>
      </w:numPr>
    </w:pPr>
    <w:rPr>
      <w:rFonts w:eastAsiaTheme="minorEastAsia"/>
      <w:color w:val="5A5A5A" w:themeColor="text1" w:themeTint="A5"/>
      <w:spacing w:val="15"/>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34"/>
    <w:qFormat/>
    <w:pPr>
      <w:ind w:left="720"/>
      <w:contextualSpacing/>
    </w:pPr>
  </w:style>
  <w:style w:type="paragraph" w:styleId="Intestazione">
    <w:name w:val="header"/>
    <w:basedOn w:val="Normale"/>
    <w:link w:val="IntestazioneCarattere"/>
    <w:uiPriority w:val="99"/>
    <w:unhideWhenUsed/>
    <w:rsid w:val="00D86A8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6A80"/>
  </w:style>
  <w:style w:type="paragraph" w:styleId="Pidipagina">
    <w:name w:val="footer"/>
    <w:basedOn w:val="Normale"/>
    <w:link w:val="PidipaginaCarattere"/>
    <w:uiPriority w:val="99"/>
    <w:unhideWhenUsed/>
    <w:rsid w:val="00D86A8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A80"/>
  </w:style>
  <w:style w:type="paragraph" w:styleId="Testofumetto">
    <w:name w:val="Balloon Text"/>
    <w:basedOn w:val="Normale"/>
    <w:link w:val="TestofumettoCarattere"/>
    <w:uiPriority w:val="99"/>
    <w:semiHidden/>
    <w:unhideWhenUsed/>
    <w:rsid w:val="00D86A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6A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Miller, Constance (CBCD)</dc:creator>
  <keywords/>
  <dc:description/>
  <lastModifiedBy>Miller, Constance (CBCD)</lastModifiedBy>
  <revision>3</revision>
  <dcterms:created xsi:type="dcterms:W3CDTF">2019-11-27T21:42:00.0000000Z</dcterms:created>
  <dcterms:modified xsi:type="dcterms:W3CDTF">2019-12-02T20:49:17.1823614Z</dcterms:modified>
</coreProperties>
</file>