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07F661" w14:textId="774C37B0" w:rsidR="3E4E2E65" w:rsidRPr="007D508F" w:rsidRDefault="42957BA7" w:rsidP="00D86A80">
      <w:pPr>
        <w:spacing w:after="0" w:line="276" w:lineRule="auto"/>
        <w:jc w:val="center"/>
        <w:rPr>
          <w:rFonts w:ascii="Times New Roman" w:eastAsiaTheme="minorEastAsia" w:hAnsi="Times New Roman" w:cs="Times New Roman"/>
          <w:b/>
          <w:bCs/>
          <w:sz w:val="26"/>
          <w:szCs w:val="26"/>
          <w:lang w:val="en-US" w:eastAsia="zh-CN"/>
        </w:rPr>
      </w:pPr>
      <w:r w:rsidRPr="007D508F">
        <w:rPr>
          <w:rFonts w:ascii="Times New Roman" w:eastAsiaTheme="minorEastAsia" w:hAnsi="Times New Roman" w:cs="Times New Roman"/>
          <w:b/>
          <w:bCs/>
          <w:sz w:val="26"/>
          <w:szCs w:val="26"/>
          <w:lang w:val="en-US" w:eastAsia="zh-CN"/>
        </w:rPr>
        <w:t>Task Force on Sustainability</w:t>
      </w:r>
    </w:p>
    <w:p w14:paraId="5801C947" w14:textId="772A9ABF" w:rsidR="3E4E2E65" w:rsidRPr="007D508F" w:rsidRDefault="42957BA7" w:rsidP="00D86A80">
      <w:pPr>
        <w:spacing w:after="200" w:line="276" w:lineRule="auto"/>
        <w:jc w:val="center"/>
        <w:rPr>
          <w:rFonts w:ascii="Times New Roman" w:eastAsiaTheme="minorEastAsia" w:hAnsi="Times New Roman" w:cs="Times New Roman"/>
          <w:b/>
          <w:bCs/>
          <w:sz w:val="26"/>
          <w:szCs w:val="26"/>
          <w:lang w:val="en-US" w:eastAsia="zh-CN"/>
        </w:rPr>
      </w:pPr>
      <w:r w:rsidRPr="007D508F">
        <w:rPr>
          <w:rFonts w:ascii="Times New Roman" w:eastAsiaTheme="minorEastAsia" w:hAnsi="Times New Roman" w:cs="Times New Roman"/>
          <w:b/>
          <w:bCs/>
          <w:sz w:val="26"/>
          <w:szCs w:val="26"/>
          <w:lang w:val="en-US" w:eastAsia="zh-CN"/>
        </w:rPr>
        <w:t>Addendum to the Scope of Work</w:t>
      </w:r>
    </w:p>
    <w:p w14:paraId="046120AC" w14:textId="73F7CB4B" w:rsidR="42957BA7" w:rsidRPr="007D508F" w:rsidRDefault="42957BA7" w:rsidP="00D86A80">
      <w:pPr>
        <w:numPr>
          <w:ilvl w:val="1"/>
          <w:numId w:val="0"/>
        </w:numPr>
        <w:spacing w:after="200" w:line="276" w:lineRule="auto"/>
        <w:jc w:val="center"/>
        <w:rPr>
          <w:rFonts w:ascii="Times New Roman" w:eastAsiaTheme="minorEastAsia" w:hAnsi="Times New Roman" w:cs="Times New Roman"/>
          <w:b/>
          <w:bCs/>
          <w:i/>
          <w:iCs/>
          <w:sz w:val="26"/>
          <w:szCs w:val="26"/>
          <w:lang w:val="en-US" w:eastAsia="zh-CN"/>
        </w:rPr>
      </w:pPr>
      <w:r w:rsidRPr="007D508F">
        <w:rPr>
          <w:rFonts w:ascii="Times New Roman" w:eastAsiaTheme="minorEastAsia" w:hAnsi="Times New Roman" w:cs="Times New Roman"/>
          <w:b/>
          <w:bCs/>
          <w:i/>
          <w:iCs/>
          <w:sz w:val="26"/>
          <w:szCs w:val="26"/>
          <w:lang w:val="en-US" w:eastAsia="zh-CN"/>
        </w:rPr>
        <w:t xml:space="preserve">GBEP Sustainability Indicators </w:t>
      </w:r>
      <w:r w:rsidR="007D508F" w:rsidRPr="007D508F">
        <w:rPr>
          <w:rFonts w:ascii="Times New Roman" w:eastAsiaTheme="minorEastAsia" w:hAnsi="Times New Roman" w:cs="Times New Roman"/>
          <w:b/>
          <w:bCs/>
          <w:i/>
          <w:iCs/>
          <w:sz w:val="26"/>
          <w:szCs w:val="26"/>
          <w:lang w:val="en-US" w:eastAsia="zh-CN"/>
        </w:rPr>
        <w:t xml:space="preserve">– </w:t>
      </w:r>
      <w:r w:rsidRPr="007D508F">
        <w:rPr>
          <w:rFonts w:ascii="Times New Roman" w:eastAsiaTheme="minorEastAsia" w:hAnsi="Times New Roman" w:cs="Times New Roman"/>
          <w:b/>
          <w:bCs/>
          <w:i/>
          <w:iCs/>
          <w:sz w:val="26"/>
          <w:szCs w:val="26"/>
          <w:lang w:val="en-US" w:eastAsia="zh-CN"/>
        </w:rPr>
        <w:t>Tool</w:t>
      </w:r>
      <w:r w:rsidR="007D508F" w:rsidRPr="007D508F">
        <w:rPr>
          <w:rFonts w:ascii="Times New Roman" w:eastAsiaTheme="minorEastAsia" w:hAnsi="Times New Roman" w:cs="Times New Roman"/>
          <w:b/>
          <w:bCs/>
          <w:i/>
          <w:iCs/>
          <w:sz w:val="26"/>
          <w:szCs w:val="26"/>
          <w:lang w:val="en-US" w:eastAsia="zh-CN"/>
        </w:rPr>
        <w:t xml:space="preserve"> for rapid implementation</w:t>
      </w:r>
    </w:p>
    <w:p w14:paraId="476CD6A3" w14:textId="490F0F79" w:rsidR="3E4E2E65" w:rsidRPr="007D508F" w:rsidRDefault="42957BA7" w:rsidP="00D86A80">
      <w:pPr>
        <w:spacing w:after="200" w:line="276" w:lineRule="auto"/>
        <w:jc w:val="both"/>
        <w:rPr>
          <w:rFonts w:ascii="Times New Roman" w:eastAsiaTheme="minorEastAsia" w:hAnsi="Times New Roman" w:cs="Times New Roman"/>
          <w:b/>
          <w:sz w:val="24"/>
          <w:u w:val="single"/>
          <w:lang w:val="en-US" w:eastAsia="zh-CN"/>
        </w:rPr>
      </w:pPr>
      <w:r w:rsidRPr="007D508F">
        <w:rPr>
          <w:rFonts w:ascii="Times New Roman" w:eastAsiaTheme="minorEastAsia" w:hAnsi="Times New Roman" w:cs="Times New Roman"/>
          <w:b/>
          <w:sz w:val="24"/>
          <w:u w:val="single"/>
          <w:lang w:val="en-US" w:eastAsia="zh-CN"/>
        </w:rPr>
        <w:t>Background</w:t>
      </w:r>
    </w:p>
    <w:p w14:paraId="6C5AF2EF" w14:textId="122F8AC0" w:rsidR="42957BA7" w:rsidRPr="007D508F" w:rsidRDefault="42957BA7" w:rsidP="00D86A80">
      <w:p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At the 1</w:t>
      </w:r>
      <w:r w:rsidR="00CE2AB0" w:rsidRPr="007D508F">
        <w:rPr>
          <w:rFonts w:ascii="Times New Roman" w:eastAsiaTheme="minorEastAsia" w:hAnsi="Times New Roman" w:cs="Times New Roman"/>
          <w:sz w:val="23"/>
          <w:szCs w:val="23"/>
          <w:lang w:val="en-US" w:eastAsia="zh-CN"/>
        </w:rPr>
        <w:t>8</w:t>
      </w:r>
      <w:r w:rsidRPr="007D508F">
        <w:rPr>
          <w:rFonts w:ascii="Times New Roman" w:eastAsiaTheme="minorEastAsia" w:hAnsi="Times New Roman" w:cs="Times New Roman"/>
          <w:sz w:val="23"/>
          <w:szCs w:val="23"/>
          <w:lang w:val="en-US" w:eastAsia="zh-CN"/>
        </w:rPr>
        <w:t xml:space="preserve">th meeting of the Task Force on Sustainability (TFS) held </w:t>
      </w:r>
      <w:r w:rsidR="00CE2AB0" w:rsidRPr="007D508F">
        <w:rPr>
          <w:rFonts w:ascii="Times New Roman" w:eastAsiaTheme="minorEastAsia" w:hAnsi="Times New Roman" w:cs="Times New Roman"/>
          <w:sz w:val="23"/>
          <w:szCs w:val="23"/>
          <w:lang w:val="en-US" w:eastAsia="zh-CN"/>
        </w:rPr>
        <w:t>online</w:t>
      </w:r>
      <w:r w:rsidRPr="007D508F">
        <w:rPr>
          <w:rFonts w:ascii="Times New Roman" w:eastAsiaTheme="minorEastAsia" w:hAnsi="Times New Roman" w:cs="Times New Roman"/>
          <w:sz w:val="23"/>
          <w:szCs w:val="23"/>
          <w:lang w:val="en-US" w:eastAsia="zh-CN"/>
        </w:rPr>
        <w:t xml:space="preserve"> on 2</w:t>
      </w:r>
      <w:r w:rsidR="006C774E" w:rsidRPr="007D508F">
        <w:rPr>
          <w:rFonts w:ascii="Times New Roman" w:eastAsiaTheme="minorEastAsia" w:hAnsi="Times New Roman" w:cs="Times New Roman"/>
          <w:sz w:val="23"/>
          <w:szCs w:val="23"/>
          <w:lang w:val="en-US" w:eastAsia="zh-CN"/>
        </w:rPr>
        <w:t>8</w:t>
      </w:r>
      <w:r w:rsidRPr="007D508F">
        <w:rPr>
          <w:rFonts w:ascii="Times New Roman" w:eastAsiaTheme="minorEastAsia" w:hAnsi="Times New Roman" w:cs="Times New Roman"/>
          <w:sz w:val="23"/>
          <w:szCs w:val="23"/>
          <w:lang w:val="en-US" w:eastAsia="zh-CN"/>
        </w:rPr>
        <w:t xml:space="preserve"> October 20</w:t>
      </w:r>
      <w:r w:rsidR="006C774E" w:rsidRPr="007D508F">
        <w:rPr>
          <w:rFonts w:ascii="Times New Roman" w:eastAsiaTheme="minorEastAsia" w:hAnsi="Times New Roman" w:cs="Times New Roman"/>
          <w:sz w:val="23"/>
          <w:szCs w:val="23"/>
          <w:lang w:val="en-US" w:eastAsia="zh-CN"/>
        </w:rPr>
        <w:t>20</w:t>
      </w:r>
      <w:r w:rsidRPr="007D508F">
        <w:rPr>
          <w:rFonts w:ascii="Times New Roman" w:eastAsiaTheme="minorEastAsia" w:hAnsi="Times New Roman" w:cs="Times New Roman"/>
          <w:sz w:val="23"/>
          <w:szCs w:val="23"/>
          <w:lang w:val="en-US" w:eastAsia="zh-CN"/>
        </w:rPr>
        <w:t xml:space="preserve">, a discussion was held on the potential development of a ‘tool’ to aid in </w:t>
      </w:r>
      <w:r w:rsidR="00CE2AB0" w:rsidRPr="007D508F">
        <w:rPr>
          <w:rFonts w:ascii="Times New Roman" w:eastAsiaTheme="minorEastAsia" w:hAnsi="Times New Roman" w:cs="Times New Roman"/>
          <w:sz w:val="23"/>
          <w:szCs w:val="23"/>
          <w:lang w:val="en-US" w:eastAsia="zh-CN"/>
        </w:rPr>
        <w:t xml:space="preserve">the rapid implementation </w:t>
      </w:r>
      <w:r w:rsidRPr="007D508F">
        <w:rPr>
          <w:rFonts w:ascii="Times New Roman" w:eastAsiaTheme="minorEastAsia" w:hAnsi="Times New Roman" w:cs="Times New Roman"/>
          <w:sz w:val="23"/>
          <w:szCs w:val="23"/>
          <w:lang w:val="en-US" w:eastAsia="zh-CN"/>
        </w:rPr>
        <w:t xml:space="preserve">of the GBEP Sustainability Indicators (GSI). </w:t>
      </w:r>
      <w:r w:rsidR="00CE2AB0" w:rsidRPr="007D508F">
        <w:rPr>
          <w:rFonts w:ascii="Times New Roman" w:eastAsiaTheme="minorEastAsia" w:hAnsi="Times New Roman" w:cs="Times New Roman"/>
          <w:sz w:val="23"/>
          <w:szCs w:val="23"/>
          <w:lang w:val="en-US" w:eastAsia="zh-CN"/>
        </w:rPr>
        <w:t>It was agreed that a dedicated tool could be useful to provide a means to carry out a first, rapid implementation of the GSI that could give a preliminary assessment of the sustainability performances of the bioenergy sector or a given bioenergy value chain in a short time frame.</w:t>
      </w:r>
    </w:p>
    <w:p w14:paraId="25D24924" w14:textId="7E2A7DD7" w:rsidR="00626BAD" w:rsidRPr="007D508F" w:rsidRDefault="00626BAD" w:rsidP="00D86A80">
      <w:p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This work stream is linked with the work stream on the data entry sheets, which both fall under the TFS sub-group on facilitating the rapid implementation of the GSI.</w:t>
      </w:r>
    </w:p>
    <w:p w14:paraId="029B3B06" w14:textId="16932026" w:rsidR="42957BA7" w:rsidRPr="007D508F" w:rsidRDefault="42957BA7" w:rsidP="00D86A80">
      <w:pPr>
        <w:spacing w:after="200" w:line="276" w:lineRule="auto"/>
        <w:jc w:val="both"/>
        <w:rPr>
          <w:rFonts w:ascii="Times New Roman" w:eastAsiaTheme="minorEastAsia" w:hAnsi="Times New Roman" w:cs="Times New Roman"/>
          <w:b/>
          <w:sz w:val="24"/>
          <w:u w:val="single"/>
          <w:lang w:val="en-US" w:eastAsia="zh-CN"/>
        </w:rPr>
      </w:pPr>
      <w:r w:rsidRPr="007D508F">
        <w:rPr>
          <w:rFonts w:ascii="Times New Roman" w:eastAsiaTheme="minorEastAsia" w:hAnsi="Times New Roman" w:cs="Times New Roman"/>
          <w:b/>
          <w:sz w:val="24"/>
          <w:u w:val="single"/>
          <w:lang w:val="en-US" w:eastAsia="zh-CN"/>
        </w:rPr>
        <w:t>Scope</w:t>
      </w:r>
    </w:p>
    <w:p w14:paraId="27FCC2BA" w14:textId="29854D95" w:rsidR="42957BA7" w:rsidRPr="007D508F" w:rsidRDefault="42957BA7" w:rsidP="00D86A80">
      <w:p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The overall objective is to deve</w:t>
      </w:r>
      <w:r w:rsidR="00CE2AB0" w:rsidRPr="007D508F">
        <w:rPr>
          <w:rFonts w:ascii="Times New Roman" w:eastAsiaTheme="minorEastAsia" w:hAnsi="Times New Roman" w:cs="Times New Roman"/>
          <w:sz w:val="23"/>
          <w:szCs w:val="23"/>
          <w:lang w:val="en-US" w:eastAsia="zh-CN"/>
        </w:rPr>
        <w:t xml:space="preserve">lop an automated tool for the purpose of allowing implementation of the GSI in cases where </w:t>
      </w:r>
      <w:r w:rsidR="006C774E" w:rsidRPr="007D508F">
        <w:rPr>
          <w:rFonts w:ascii="Times New Roman" w:eastAsiaTheme="minorEastAsia" w:hAnsi="Times New Roman" w:cs="Times New Roman"/>
          <w:sz w:val="23"/>
          <w:szCs w:val="23"/>
          <w:lang w:val="en-US" w:eastAsia="zh-CN"/>
        </w:rPr>
        <w:t xml:space="preserve">time and/or financial </w:t>
      </w:r>
      <w:r w:rsidR="00CE2AB0" w:rsidRPr="007D508F">
        <w:rPr>
          <w:rFonts w:ascii="Times New Roman" w:eastAsiaTheme="minorEastAsia" w:hAnsi="Times New Roman" w:cs="Times New Roman"/>
          <w:sz w:val="23"/>
          <w:szCs w:val="23"/>
          <w:lang w:val="en-US" w:eastAsia="zh-CN"/>
        </w:rPr>
        <w:t xml:space="preserve">resources are limited. </w:t>
      </w:r>
      <w:r w:rsidR="006C774E" w:rsidRPr="007D508F">
        <w:rPr>
          <w:rFonts w:ascii="Times New Roman" w:eastAsiaTheme="minorEastAsia" w:hAnsi="Times New Roman" w:cs="Times New Roman"/>
          <w:sz w:val="23"/>
          <w:szCs w:val="23"/>
          <w:lang w:val="en-US" w:eastAsia="zh-CN"/>
        </w:rPr>
        <w:t xml:space="preserve">However, the tool will be useful in all cases where an expedite implementation of the GSI is desired. </w:t>
      </w:r>
    </w:p>
    <w:p w14:paraId="40D17F10" w14:textId="71BC36CF" w:rsidR="42957BA7" w:rsidRPr="007D508F" w:rsidRDefault="00D86A80" w:rsidP="00D86A80">
      <w:pPr>
        <w:spacing w:after="200" w:line="276" w:lineRule="auto"/>
        <w:jc w:val="both"/>
        <w:rPr>
          <w:rFonts w:ascii="Times New Roman" w:eastAsiaTheme="minorEastAsia" w:hAnsi="Times New Roman" w:cs="Times New Roman"/>
          <w:b/>
          <w:sz w:val="24"/>
          <w:u w:val="single"/>
          <w:lang w:val="en-US" w:eastAsia="zh-CN"/>
        </w:rPr>
      </w:pPr>
      <w:r w:rsidRPr="007D508F">
        <w:rPr>
          <w:rFonts w:ascii="Times New Roman" w:eastAsiaTheme="minorEastAsia" w:hAnsi="Times New Roman" w:cs="Times New Roman"/>
          <w:b/>
          <w:sz w:val="24"/>
          <w:u w:val="single"/>
          <w:lang w:val="en-US" w:eastAsia="zh-CN"/>
        </w:rPr>
        <w:t>Deliverables</w:t>
      </w:r>
    </w:p>
    <w:p w14:paraId="576CBA72" w14:textId="5F907709" w:rsidR="42957BA7" w:rsidRPr="007D508F" w:rsidRDefault="00CE2AB0" w:rsidP="00626BAD">
      <w:p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Given the nature of the development of the tool, it will require external financial resources. Therefore, the primary deliverable of the sub-group stream will be to develop a project proposal for the production of such a tool, which</w:t>
      </w:r>
      <w:r w:rsidR="00626BAD" w:rsidRPr="007D508F">
        <w:rPr>
          <w:rFonts w:ascii="Times New Roman" w:eastAsiaTheme="minorEastAsia" w:hAnsi="Times New Roman" w:cs="Times New Roman"/>
          <w:sz w:val="23"/>
          <w:szCs w:val="23"/>
          <w:lang w:val="en-US" w:eastAsia="zh-CN"/>
        </w:rPr>
        <w:t xml:space="preserve"> can be shared with funding agencies or adapted for relevant calls for funding. </w:t>
      </w:r>
    </w:p>
    <w:p w14:paraId="44338DF4" w14:textId="516E6244" w:rsidR="00626BAD" w:rsidRPr="007D508F" w:rsidRDefault="00626BAD" w:rsidP="00626BAD">
      <w:p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This will be developed on the basis of the concept note already shared at the GBEP Meeting in October 2020 (and attached as an Annex to this Scope of Work). It will be expanded to include indicative timeframe and budget, key activities, and primary outputs. It will also include information on interested Partners who could represent users of the tool and express formal interest in (and potential contribution to) its development.</w:t>
      </w:r>
    </w:p>
    <w:p w14:paraId="2F27544E" w14:textId="6BC39E01" w:rsidR="42957BA7" w:rsidRPr="007D508F" w:rsidRDefault="42957BA7" w:rsidP="00D86A80">
      <w:pPr>
        <w:spacing w:after="200" w:line="276" w:lineRule="auto"/>
        <w:jc w:val="both"/>
        <w:rPr>
          <w:rFonts w:ascii="Times New Roman" w:eastAsiaTheme="minorEastAsia" w:hAnsi="Times New Roman" w:cs="Times New Roman"/>
          <w:b/>
          <w:sz w:val="24"/>
          <w:u w:val="single"/>
          <w:lang w:val="en-US" w:eastAsia="zh-CN"/>
        </w:rPr>
      </w:pPr>
      <w:r w:rsidRPr="007D508F">
        <w:rPr>
          <w:rFonts w:ascii="Times New Roman" w:eastAsiaTheme="minorEastAsia" w:hAnsi="Times New Roman" w:cs="Times New Roman"/>
          <w:b/>
          <w:sz w:val="24"/>
          <w:u w:val="single"/>
          <w:lang w:val="en-US" w:eastAsia="zh-CN"/>
        </w:rPr>
        <w:t>Work modalities and time frame</w:t>
      </w:r>
    </w:p>
    <w:p w14:paraId="4BE0EFB1" w14:textId="57F59DD6" w:rsidR="0009361D" w:rsidRPr="007D508F" w:rsidRDefault="41C77B95" w:rsidP="41C77B95">
      <w:p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 xml:space="preserve">GBEP Partners and Observers that have already implemented the GSI will contribute to this work, </w:t>
      </w:r>
      <w:r w:rsidR="00626BAD" w:rsidRPr="007D508F">
        <w:rPr>
          <w:rFonts w:ascii="Times New Roman" w:eastAsiaTheme="minorEastAsia" w:hAnsi="Times New Roman" w:cs="Times New Roman"/>
          <w:sz w:val="23"/>
          <w:szCs w:val="23"/>
          <w:lang w:val="en-US" w:eastAsia="zh-CN"/>
        </w:rPr>
        <w:t xml:space="preserve">as well as </w:t>
      </w:r>
      <w:r w:rsidR="006C774E" w:rsidRPr="007D508F">
        <w:rPr>
          <w:rFonts w:ascii="Times New Roman" w:eastAsiaTheme="minorEastAsia" w:hAnsi="Times New Roman" w:cs="Times New Roman"/>
          <w:sz w:val="23"/>
          <w:szCs w:val="23"/>
          <w:lang w:val="en-US" w:eastAsia="zh-CN"/>
        </w:rPr>
        <w:t xml:space="preserve">any </w:t>
      </w:r>
      <w:r w:rsidR="0009361D" w:rsidRPr="007D508F">
        <w:rPr>
          <w:rFonts w:ascii="Times New Roman" w:eastAsiaTheme="minorEastAsia" w:hAnsi="Times New Roman" w:cs="Times New Roman"/>
          <w:sz w:val="23"/>
          <w:szCs w:val="23"/>
          <w:lang w:val="en-US" w:eastAsia="zh-CN"/>
        </w:rPr>
        <w:t xml:space="preserve">other Partners who have expressed interest in contributing. </w:t>
      </w:r>
    </w:p>
    <w:p w14:paraId="44659BEE" w14:textId="42FAC824" w:rsidR="0009361D" w:rsidRPr="007D508F" w:rsidRDefault="0009361D" w:rsidP="41C77B95">
      <w:p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The co-leader</w:t>
      </w:r>
      <w:r w:rsidR="00B74642">
        <w:rPr>
          <w:rFonts w:ascii="Times New Roman" w:eastAsiaTheme="minorEastAsia" w:hAnsi="Times New Roman" w:cs="Times New Roman"/>
          <w:sz w:val="23"/>
          <w:szCs w:val="23"/>
          <w:lang w:val="en-US" w:eastAsia="zh-CN"/>
        </w:rPr>
        <w:t>s</w:t>
      </w:r>
      <w:r w:rsidRPr="007D508F">
        <w:rPr>
          <w:rFonts w:ascii="Times New Roman" w:eastAsiaTheme="minorEastAsia" w:hAnsi="Times New Roman" w:cs="Times New Roman"/>
          <w:sz w:val="23"/>
          <w:szCs w:val="23"/>
          <w:lang w:val="en-US" w:eastAsia="zh-CN"/>
        </w:rPr>
        <w:t xml:space="preserve"> of this sub-group is Olivier Dubois (FAO</w:t>
      </w:r>
      <w:r w:rsidR="00B74642">
        <w:rPr>
          <w:rFonts w:ascii="Times New Roman" w:eastAsiaTheme="minorEastAsia" w:hAnsi="Times New Roman" w:cs="Times New Roman"/>
          <w:sz w:val="23"/>
          <w:szCs w:val="23"/>
          <w:lang w:val="en-US" w:eastAsia="zh-CN"/>
        </w:rPr>
        <w:t>) and Maria Murmis (Argentina)</w:t>
      </w:r>
      <w:r w:rsidRPr="007D508F">
        <w:rPr>
          <w:rFonts w:ascii="Times New Roman" w:eastAsiaTheme="minorEastAsia" w:hAnsi="Times New Roman" w:cs="Times New Roman"/>
          <w:sz w:val="23"/>
          <w:szCs w:val="23"/>
          <w:lang w:val="en-US" w:eastAsia="zh-CN"/>
        </w:rPr>
        <w:t xml:space="preserve">. </w:t>
      </w:r>
    </w:p>
    <w:p w14:paraId="2C700742" w14:textId="37D5A24F" w:rsidR="42957BA7" w:rsidRPr="007D508F" w:rsidRDefault="41C77B95" w:rsidP="41C77B95">
      <w:p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The work will be carried out virtually, through email exchanges and teleconferences.</w:t>
      </w:r>
      <w:r w:rsidR="0009361D" w:rsidRPr="007D508F">
        <w:rPr>
          <w:rFonts w:ascii="Times New Roman" w:eastAsiaTheme="minorEastAsia" w:hAnsi="Times New Roman" w:cs="Times New Roman"/>
          <w:sz w:val="23"/>
          <w:szCs w:val="23"/>
          <w:lang w:val="en-US" w:eastAsia="zh-CN"/>
        </w:rPr>
        <w:t xml:space="preserve"> It was agreed that the sub-group would work through the collaborative platform MS Teams for an initial trial period.</w:t>
      </w:r>
    </w:p>
    <w:p w14:paraId="4EAF8F86" w14:textId="6E7EB06A" w:rsidR="3E4E2E65" w:rsidRPr="007D508F" w:rsidRDefault="41C77B95" w:rsidP="006C774E">
      <w:p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 xml:space="preserve">The </w:t>
      </w:r>
      <w:r w:rsidR="0009361D" w:rsidRPr="007D508F">
        <w:rPr>
          <w:rFonts w:ascii="Times New Roman" w:eastAsiaTheme="minorEastAsia" w:hAnsi="Times New Roman" w:cs="Times New Roman"/>
          <w:sz w:val="23"/>
          <w:szCs w:val="23"/>
          <w:lang w:val="en-US" w:eastAsia="zh-CN"/>
        </w:rPr>
        <w:t>work of the sub-group stream</w:t>
      </w:r>
      <w:r w:rsidRPr="007D508F">
        <w:rPr>
          <w:rFonts w:ascii="Times New Roman" w:eastAsiaTheme="minorEastAsia" w:hAnsi="Times New Roman" w:cs="Times New Roman"/>
          <w:sz w:val="23"/>
          <w:szCs w:val="23"/>
          <w:lang w:val="en-US" w:eastAsia="zh-CN"/>
        </w:rPr>
        <w:t xml:space="preserve"> </w:t>
      </w:r>
      <w:r w:rsidR="000F19E5">
        <w:rPr>
          <w:rFonts w:ascii="Times New Roman" w:eastAsiaTheme="minorEastAsia" w:hAnsi="Times New Roman" w:cs="Times New Roman"/>
          <w:sz w:val="23"/>
          <w:szCs w:val="23"/>
          <w:lang w:val="en-US" w:eastAsia="zh-CN"/>
        </w:rPr>
        <w:t xml:space="preserve">to develop a project proposal for the tool </w:t>
      </w:r>
      <w:r w:rsidRPr="007D508F">
        <w:rPr>
          <w:rFonts w:ascii="Times New Roman" w:eastAsiaTheme="minorEastAsia" w:hAnsi="Times New Roman" w:cs="Times New Roman"/>
          <w:sz w:val="23"/>
          <w:szCs w:val="23"/>
          <w:lang w:val="en-US" w:eastAsia="zh-CN"/>
        </w:rPr>
        <w:t xml:space="preserve">is proposed to be </w:t>
      </w:r>
      <w:r w:rsidR="0009361D" w:rsidRPr="007D508F">
        <w:rPr>
          <w:rFonts w:ascii="Times New Roman" w:eastAsiaTheme="minorEastAsia" w:hAnsi="Times New Roman" w:cs="Times New Roman"/>
          <w:sz w:val="23"/>
          <w:szCs w:val="23"/>
          <w:lang w:val="en-US" w:eastAsia="zh-CN"/>
        </w:rPr>
        <w:t>finalized</w:t>
      </w:r>
      <w:r w:rsidRPr="007D508F">
        <w:rPr>
          <w:rFonts w:ascii="Times New Roman" w:eastAsiaTheme="minorEastAsia" w:hAnsi="Times New Roman" w:cs="Times New Roman"/>
          <w:sz w:val="23"/>
          <w:szCs w:val="23"/>
          <w:lang w:val="en-US" w:eastAsia="zh-CN"/>
        </w:rPr>
        <w:t xml:space="preserve"> by </w:t>
      </w:r>
      <w:r w:rsidR="0009361D" w:rsidRPr="007D508F">
        <w:rPr>
          <w:rFonts w:ascii="Times New Roman" w:eastAsiaTheme="minorEastAsia" w:hAnsi="Times New Roman" w:cs="Times New Roman"/>
          <w:sz w:val="23"/>
          <w:szCs w:val="23"/>
          <w:lang w:val="en-US" w:eastAsia="zh-CN"/>
        </w:rPr>
        <w:t xml:space="preserve">November </w:t>
      </w:r>
      <w:r w:rsidRPr="007D508F">
        <w:rPr>
          <w:rFonts w:ascii="Times New Roman" w:eastAsiaTheme="minorEastAsia" w:hAnsi="Times New Roman" w:cs="Times New Roman"/>
          <w:sz w:val="23"/>
          <w:szCs w:val="23"/>
          <w:lang w:val="en-US" w:eastAsia="zh-CN"/>
        </w:rPr>
        <w:t>202</w:t>
      </w:r>
      <w:r w:rsidR="0009361D" w:rsidRPr="007D508F">
        <w:rPr>
          <w:rFonts w:ascii="Times New Roman" w:eastAsiaTheme="minorEastAsia" w:hAnsi="Times New Roman" w:cs="Times New Roman"/>
          <w:sz w:val="23"/>
          <w:szCs w:val="23"/>
          <w:lang w:val="en-US" w:eastAsia="zh-CN"/>
        </w:rPr>
        <w:t>1</w:t>
      </w:r>
      <w:r w:rsidRPr="007D508F">
        <w:rPr>
          <w:rFonts w:ascii="Times New Roman" w:eastAsiaTheme="minorEastAsia" w:hAnsi="Times New Roman" w:cs="Times New Roman"/>
          <w:sz w:val="23"/>
          <w:szCs w:val="23"/>
          <w:lang w:val="en-US" w:eastAsia="zh-CN"/>
        </w:rPr>
        <w:t>.</w:t>
      </w:r>
    </w:p>
    <w:p w14:paraId="2472DD08" w14:textId="65962F3B" w:rsidR="007D508F" w:rsidRDefault="007D508F" w:rsidP="007D508F">
      <w:pPr>
        <w:spacing w:after="200" w:line="276" w:lineRule="auto"/>
        <w:jc w:val="center"/>
        <w:rPr>
          <w:rFonts w:ascii="Times New Roman" w:eastAsiaTheme="minorEastAsia" w:hAnsi="Times New Roman" w:cs="Times New Roman"/>
          <w:b/>
          <w:bCs/>
          <w:sz w:val="26"/>
          <w:szCs w:val="26"/>
          <w:lang w:val="en-US" w:eastAsia="zh-CN"/>
        </w:rPr>
      </w:pPr>
      <w:r w:rsidRPr="007D508F">
        <w:rPr>
          <w:rFonts w:ascii="Times New Roman" w:eastAsiaTheme="minorEastAsia" w:hAnsi="Times New Roman" w:cs="Times New Roman"/>
          <w:b/>
          <w:bCs/>
          <w:sz w:val="26"/>
          <w:szCs w:val="26"/>
          <w:lang w:val="en-US" w:eastAsia="zh-CN"/>
        </w:rPr>
        <w:lastRenderedPageBreak/>
        <w:t>Annex – Information note</w:t>
      </w:r>
      <w:r>
        <w:rPr>
          <w:rFonts w:ascii="Times New Roman" w:eastAsiaTheme="minorEastAsia" w:hAnsi="Times New Roman" w:cs="Times New Roman"/>
          <w:b/>
          <w:bCs/>
          <w:sz w:val="26"/>
          <w:szCs w:val="26"/>
          <w:lang w:val="en-US" w:eastAsia="zh-CN"/>
        </w:rPr>
        <w:t xml:space="preserve"> presented at GBEP Annual Meetings 2020</w:t>
      </w:r>
    </w:p>
    <w:p w14:paraId="7EFA5E6F" w14:textId="7BEF3FE3" w:rsidR="007D508F" w:rsidRPr="007D508F" w:rsidRDefault="007D508F" w:rsidP="007D508F">
      <w:pPr>
        <w:spacing w:after="200" w:line="276" w:lineRule="auto"/>
        <w:jc w:val="center"/>
        <w:rPr>
          <w:rFonts w:ascii="Times New Roman" w:eastAsiaTheme="minorEastAsia" w:hAnsi="Times New Roman" w:cs="Times New Roman"/>
          <w:b/>
          <w:bCs/>
          <w:sz w:val="26"/>
          <w:szCs w:val="26"/>
          <w:lang w:val="en-US" w:eastAsia="zh-CN"/>
        </w:rPr>
      </w:pPr>
      <w:r w:rsidRPr="007D508F">
        <w:rPr>
          <w:rFonts w:ascii="Times New Roman" w:eastAsiaTheme="minorEastAsia" w:hAnsi="Times New Roman" w:cs="Times New Roman"/>
          <w:b/>
          <w:bCs/>
          <w:sz w:val="26"/>
          <w:szCs w:val="26"/>
          <w:lang w:val="en-US" w:eastAsia="zh-CN"/>
        </w:rPr>
        <w:t xml:space="preserve"> Developing a format for a ‘rapid implementation’ of the GBEP Sustainability Indicators</w:t>
      </w:r>
    </w:p>
    <w:p w14:paraId="10455D8F" w14:textId="77777777" w:rsidR="007D508F" w:rsidRPr="007D508F" w:rsidRDefault="007D508F" w:rsidP="007D508F">
      <w:pPr>
        <w:spacing w:after="200" w:line="276" w:lineRule="auto"/>
        <w:jc w:val="both"/>
        <w:rPr>
          <w:rFonts w:ascii="Times New Roman" w:eastAsiaTheme="minorEastAsia" w:hAnsi="Times New Roman" w:cs="Times New Roman"/>
          <w:b/>
          <w:sz w:val="24"/>
          <w:u w:val="single"/>
          <w:lang w:val="en-US" w:eastAsia="zh-CN"/>
        </w:rPr>
      </w:pPr>
      <w:r w:rsidRPr="007D508F">
        <w:rPr>
          <w:rFonts w:ascii="Times New Roman" w:eastAsiaTheme="minorEastAsia" w:hAnsi="Times New Roman" w:cs="Times New Roman"/>
          <w:b/>
          <w:sz w:val="24"/>
          <w:u w:val="single"/>
          <w:lang w:val="en-US" w:eastAsia="zh-CN"/>
        </w:rPr>
        <w:t>Rationale:</w:t>
      </w:r>
    </w:p>
    <w:p w14:paraId="5022E2DB" w14:textId="77777777" w:rsidR="007D508F" w:rsidRPr="007D508F" w:rsidRDefault="007D508F" w:rsidP="007D508F">
      <w:p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The methodology of the GBEP Sustainability Indicators for Bioenergy (GSI) was developed as a thorough assessment of the national bioenergy sector, in order to provide a basis for informed decision making. Given this objective, and therefore the nature of the methodologies for the 24 indicators, the measurement of the GSI is sophisticated and has large requirements in terms of resources (both humans and financial), capacity and data.</w:t>
      </w:r>
    </w:p>
    <w:p w14:paraId="6565D654" w14:textId="77777777" w:rsidR="007D508F" w:rsidRPr="007D508F" w:rsidRDefault="007D508F" w:rsidP="007D508F">
      <w:p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Since the development of the GSI in 2011, the aim of the Task Force on Sustainability has been to facilitate the use of the indicators through the development of an Implementation Guide. The completion of the Implementation Guide in January 2020 represents an important step in aiding countries with the implementation of the GSI, providing, e.g. important information on the development of an implementation project and on attributing impacts to bioenergy. However, as mentioned in the Implementation Guide itself, data and capacity requirements are still high, and can be a barrier in some national circumstances. To advance the uptake of the implementation of the GSI, it could be important to further facilitate GSI measurement, concurrently with the development of the data entry sheets that are in progress.</w:t>
      </w:r>
    </w:p>
    <w:p w14:paraId="0EDC4E81" w14:textId="77777777" w:rsidR="007D508F" w:rsidRPr="007D508F" w:rsidRDefault="007D508F" w:rsidP="007D508F">
      <w:pPr>
        <w:spacing w:after="200" w:line="276" w:lineRule="auto"/>
        <w:jc w:val="both"/>
        <w:rPr>
          <w:rFonts w:ascii="Times New Roman" w:eastAsiaTheme="minorEastAsia" w:hAnsi="Times New Roman" w:cs="Times New Roman"/>
          <w:b/>
          <w:sz w:val="24"/>
          <w:u w:val="single"/>
          <w:lang w:val="en-US" w:eastAsia="zh-CN"/>
        </w:rPr>
      </w:pPr>
      <w:r w:rsidRPr="007D508F">
        <w:rPr>
          <w:rFonts w:ascii="Times New Roman" w:eastAsiaTheme="minorEastAsia" w:hAnsi="Times New Roman" w:cs="Times New Roman"/>
          <w:b/>
          <w:sz w:val="24"/>
          <w:u w:val="single"/>
          <w:lang w:val="en-US" w:eastAsia="zh-CN"/>
        </w:rPr>
        <w:t>Proposal for discussion:</w:t>
      </w:r>
    </w:p>
    <w:p w14:paraId="34BC5340" w14:textId="77777777" w:rsidR="007D508F" w:rsidRPr="007D508F" w:rsidRDefault="007D508F" w:rsidP="007D508F">
      <w:p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 xml:space="preserve">Building on the above mentioned rational, the proposal is to provide a means to carry out a first expedite implementation of the GSI that could provide a preliminary assessment of the sustainability performances of a given bioenergy value chain in a short time frame (e.g. to be completed in maximum six months). </w:t>
      </w:r>
    </w:p>
    <w:p w14:paraId="37D2946B" w14:textId="77777777" w:rsidR="007D508F" w:rsidRPr="007D508F" w:rsidRDefault="007D508F" w:rsidP="007D508F">
      <w:p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The overall goal of the rapid implementation approach of the GSIs would to obtain rapid yet robust indications on the sustainability situation of bioenergy at national/sub-national levels within six months, with the possibility to undertake more detailed analysis if deemed appropriate by national stakeholders.</w:t>
      </w:r>
    </w:p>
    <w:p w14:paraId="2494A25E" w14:textId="77777777" w:rsidR="007D508F" w:rsidRPr="007D508F" w:rsidRDefault="007D508F" w:rsidP="007D508F">
      <w:p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The results of the rapid implementation of the GSI could be visualized using three criteria, showing for each indicator:</w:t>
      </w:r>
    </w:p>
    <w:p w14:paraId="44FD5451" w14:textId="77777777" w:rsidR="007D508F" w:rsidRDefault="007D508F" w:rsidP="007D508F">
      <w:pPr>
        <w:pStyle w:val="ListParagraph"/>
        <w:numPr>
          <w:ilvl w:val="0"/>
          <w:numId w:val="5"/>
        </w:num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The ‘criticality’, i.e. the importance of the indicator within the national priorities;</w:t>
      </w:r>
    </w:p>
    <w:p w14:paraId="3A1097A6" w14:textId="77777777" w:rsidR="007D508F" w:rsidRDefault="007D508F" w:rsidP="007D508F">
      <w:pPr>
        <w:pStyle w:val="ListParagraph"/>
        <w:numPr>
          <w:ilvl w:val="0"/>
          <w:numId w:val="5"/>
        </w:num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The availability of information/capacity for measurement, which could be indicated using a traffic light analogy; and</w:t>
      </w:r>
    </w:p>
    <w:p w14:paraId="600A8178" w14:textId="64660D14" w:rsidR="007D508F" w:rsidRPr="007D508F" w:rsidRDefault="007D508F" w:rsidP="007D508F">
      <w:pPr>
        <w:pStyle w:val="ListParagraph"/>
        <w:numPr>
          <w:ilvl w:val="0"/>
          <w:numId w:val="5"/>
        </w:num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 xml:space="preserve">Where possible, the quantitative outcome of a rapid indicator measurement using existing available data. </w:t>
      </w:r>
    </w:p>
    <w:p w14:paraId="0E15B7C2" w14:textId="77777777" w:rsidR="007D508F" w:rsidRPr="007D508F" w:rsidRDefault="007D508F" w:rsidP="007D508F">
      <w:p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Please see Table 1 below for an example of the visualization of these criteria.</w:t>
      </w:r>
    </w:p>
    <w:p w14:paraId="723734D0" w14:textId="77777777" w:rsidR="007D508F" w:rsidRPr="007D508F" w:rsidRDefault="007D508F" w:rsidP="007D508F">
      <w:p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 xml:space="preserve">When viewed together, the three criteria of the rapid implementation could provide valuable information for the country. Not only would it inform on the preliminary results of the GSI, but it </w:t>
      </w:r>
      <w:r w:rsidRPr="007D508F">
        <w:rPr>
          <w:rFonts w:ascii="Times New Roman" w:eastAsiaTheme="minorEastAsia" w:hAnsi="Times New Roman" w:cs="Times New Roman"/>
          <w:sz w:val="23"/>
          <w:szCs w:val="23"/>
          <w:lang w:val="en-US" w:eastAsia="zh-CN"/>
        </w:rPr>
        <w:lastRenderedPageBreak/>
        <w:t xml:space="preserve">would also highlight potentially critical aspects/needs that require further resources to research a specific sustainability indicator in depth. This exercise could serve as a means to prioritize resources for a more efficient and targeted assessment of the sector. Therefore, through a rapid preliminary implementation of the GSI, countries could, in a relatively short amount of time and with reasonable financial resources, gain </w:t>
      </w:r>
      <w:proofErr w:type="spellStart"/>
      <w:r w:rsidRPr="007D508F">
        <w:rPr>
          <w:rFonts w:ascii="Times New Roman" w:eastAsiaTheme="minorEastAsia" w:hAnsi="Times New Roman" w:cs="Times New Roman"/>
          <w:sz w:val="23"/>
          <w:szCs w:val="23"/>
          <w:lang w:val="en-US" w:eastAsia="zh-CN"/>
        </w:rPr>
        <w:t>i</w:t>
      </w:r>
      <w:proofErr w:type="spellEnd"/>
      <w:r w:rsidRPr="007D508F">
        <w:rPr>
          <w:rFonts w:ascii="Times New Roman" w:eastAsiaTheme="minorEastAsia" w:hAnsi="Times New Roman" w:cs="Times New Roman"/>
          <w:sz w:val="23"/>
          <w:szCs w:val="23"/>
          <w:lang w:val="en-US" w:eastAsia="zh-CN"/>
        </w:rPr>
        <w:t xml:space="preserve">) a quick understanding of major trends in terms of sustainability performances of bioenergy at country level, and ii) an indication of the needs for further research and how to optimize a further in-depth assessment, where required, in terms of financial and time requirements. </w:t>
      </w:r>
    </w:p>
    <w:p w14:paraId="4AF1F743" w14:textId="77777777" w:rsidR="007D508F" w:rsidRPr="007D508F" w:rsidRDefault="007D508F" w:rsidP="007D508F">
      <w:pPr>
        <w:spacing w:after="200" w:line="276" w:lineRule="auto"/>
        <w:jc w:val="both"/>
        <w:rPr>
          <w:rFonts w:ascii="Times New Roman" w:eastAsiaTheme="minorEastAsia" w:hAnsi="Times New Roman" w:cs="Times New Roman"/>
          <w:sz w:val="23"/>
          <w:szCs w:val="23"/>
          <w:lang w:val="en-US" w:eastAsia="zh-CN"/>
        </w:rPr>
      </w:pPr>
      <w:r w:rsidRPr="007D508F">
        <w:rPr>
          <w:rFonts w:ascii="Times New Roman" w:eastAsiaTheme="minorEastAsia" w:hAnsi="Times New Roman" w:cs="Times New Roman"/>
          <w:sz w:val="23"/>
          <w:szCs w:val="23"/>
          <w:lang w:val="en-US" w:eastAsia="zh-CN"/>
        </w:rPr>
        <w:t>The eventual data entry sheets for the GSI could facilitate the rapid implementation; if the two were used in combination, it could allow for an even quicker and standardized means for identifying data requirements and availability. Further to this, a dedicated tool could also be developed for the rapid implementation; this may expedite not only the data collection (for example, where it could be automatically inserted from available databases) but also the calculation. Such a tool could build on the tools developed under the FORBIO and BIOPLAT-EU projects, with a view to adapt it to measurements at national/sub-national level.</w:t>
      </w:r>
    </w:p>
    <w:p w14:paraId="3FA7AE2A" w14:textId="77777777" w:rsidR="007D508F" w:rsidRPr="007D508F" w:rsidRDefault="007D508F" w:rsidP="007D508F">
      <w:pPr>
        <w:jc w:val="center"/>
        <w:rPr>
          <w:rFonts w:ascii="Times New Roman" w:hAnsi="Times New Roman" w:cs="Times New Roman"/>
          <w:i/>
          <w:iCs/>
          <w:lang w:val="en-US"/>
        </w:rPr>
      </w:pPr>
      <w:r w:rsidRPr="007D508F">
        <w:rPr>
          <w:rFonts w:ascii="Times New Roman" w:hAnsi="Times New Roman" w:cs="Times New Roman"/>
          <w:i/>
          <w:iCs/>
          <w:lang w:val="en-US"/>
        </w:rPr>
        <w:t>Table 1: Example of possible visualization of the results of a rapid implementation of the GSI</w:t>
      </w:r>
    </w:p>
    <w:tbl>
      <w:tblPr>
        <w:tblStyle w:val="GridTable1Light"/>
        <w:tblW w:w="0" w:type="auto"/>
        <w:tblLook w:val="04A0" w:firstRow="1" w:lastRow="0" w:firstColumn="1" w:lastColumn="0" w:noHBand="0" w:noVBand="1"/>
      </w:tblPr>
      <w:tblGrid>
        <w:gridCol w:w="1098"/>
        <w:gridCol w:w="1930"/>
        <w:gridCol w:w="2924"/>
        <w:gridCol w:w="3290"/>
      </w:tblGrid>
      <w:tr w:rsidR="007D508F" w:rsidRPr="007D508F" w14:paraId="53985FF4" w14:textId="77777777" w:rsidTr="007D50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ED15F85" w14:textId="77777777" w:rsidR="007D508F" w:rsidRPr="007D508F" w:rsidRDefault="007D508F" w:rsidP="007D508F">
            <w:pPr>
              <w:spacing w:line="276" w:lineRule="auto"/>
              <w:jc w:val="both"/>
              <w:rPr>
                <w:rFonts w:ascii="Times New Roman" w:hAnsi="Times New Roman" w:cs="Times New Roman"/>
                <w:i/>
                <w:iCs/>
                <w:sz w:val="23"/>
                <w:szCs w:val="23"/>
              </w:rPr>
            </w:pPr>
            <w:r w:rsidRPr="007D508F">
              <w:rPr>
                <w:rFonts w:ascii="Times New Roman" w:hAnsi="Times New Roman" w:cs="Times New Roman"/>
                <w:i/>
                <w:iCs/>
                <w:sz w:val="23"/>
                <w:szCs w:val="23"/>
              </w:rPr>
              <w:t>Indicator</w:t>
            </w:r>
          </w:p>
        </w:tc>
        <w:tc>
          <w:tcPr>
            <w:tcW w:w="0" w:type="auto"/>
          </w:tcPr>
          <w:p w14:paraId="614A381F" w14:textId="77777777" w:rsidR="007D508F" w:rsidRPr="007D508F" w:rsidRDefault="007D508F" w:rsidP="007D508F">
            <w:pPr>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iCs/>
                <w:sz w:val="23"/>
                <w:szCs w:val="23"/>
              </w:rPr>
            </w:pPr>
            <w:r w:rsidRPr="007D508F">
              <w:rPr>
                <w:rFonts w:ascii="Times New Roman" w:hAnsi="Times New Roman" w:cs="Times New Roman"/>
                <w:i/>
                <w:iCs/>
                <w:sz w:val="23"/>
                <w:szCs w:val="23"/>
              </w:rPr>
              <w:t>Criticality of indicator</w:t>
            </w:r>
          </w:p>
        </w:tc>
        <w:tc>
          <w:tcPr>
            <w:tcW w:w="0" w:type="auto"/>
          </w:tcPr>
          <w:p w14:paraId="7757F00C" w14:textId="77777777" w:rsidR="007D508F" w:rsidRPr="007D508F" w:rsidRDefault="007D508F" w:rsidP="007D508F">
            <w:pPr>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iCs/>
                <w:sz w:val="23"/>
                <w:szCs w:val="23"/>
              </w:rPr>
            </w:pPr>
            <w:r w:rsidRPr="007D508F">
              <w:rPr>
                <w:rFonts w:ascii="Times New Roman" w:hAnsi="Times New Roman" w:cs="Times New Roman"/>
                <w:i/>
                <w:iCs/>
                <w:sz w:val="23"/>
                <w:szCs w:val="23"/>
              </w:rPr>
              <w:t>Existing data and capacity sufficient?</w:t>
            </w:r>
          </w:p>
        </w:tc>
        <w:tc>
          <w:tcPr>
            <w:tcW w:w="0" w:type="auto"/>
          </w:tcPr>
          <w:p w14:paraId="03A1070E" w14:textId="77777777" w:rsidR="007D508F" w:rsidRPr="007D508F" w:rsidRDefault="007D508F" w:rsidP="007D508F">
            <w:pPr>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iCs/>
                <w:sz w:val="23"/>
                <w:szCs w:val="23"/>
              </w:rPr>
            </w:pPr>
            <w:r w:rsidRPr="007D508F">
              <w:rPr>
                <w:rFonts w:ascii="Times New Roman" w:hAnsi="Times New Roman" w:cs="Times New Roman"/>
                <w:i/>
                <w:iCs/>
                <w:sz w:val="23"/>
                <w:szCs w:val="23"/>
              </w:rPr>
              <w:t>Indicator measurement quantitative result</w:t>
            </w:r>
          </w:p>
        </w:tc>
      </w:tr>
      <w:tr w:rsidR="007D508F" w:rsidRPr="007D508F" w14:paraId="62500AD6" w14:textId="77777777" w:rsidTr="007D508F">
        <w:tc>
          <w:tcPr>
            <w:cnfStyle w:val="001000000000" w:firstRow="0" w:lastRow="0" w:firstColumn="1" w:lastColumn="0" w:oddVBand="0" w:evenVBand="0" w:oddHBand="0" w:evenHBand="0" w:firstRowFirstColumn="0" w:firstRowLastColumn="0" w:lastRowFirstColumn="0" w:lastRowLastColumn="0"/>
            <w:tcW w:w="0" w:type="auto"/>
          </w:tcPr>
          <w:p w14:paraId="17A5F281" w14:textId="77777777" w:rsidR="007D508F" w:rsidRPr="007D508F" w:rsidRDefault="007D508F" w:rsidP="007D508F">
            <w:pPr>
              <w:spacing w:line="276" w:lineRule="auto"/>
              <w:jc w:val="both"/>
              <w:rPr>
                <w:rFonts w:ascii="Times New Roman" w:hAnsi="Times New Roman" w:cs="Times New Roman"/>
                <w:sz w:val="23"/>
                <w:szCs w:val="23"/>
              </w:rPr>
            </w:pPr>
            <w:r w:rsidRPr="007D508F">
              <w:rPr>
                <w:rFonts w:ascii="Times New Roman" w:hAnsi="Times New Roman" w:cs="Times New Roman"/>
                <w:b w:val="0"/>
                <w:bCs w:val="0"/>
                <w:sz w:val="23"/>
                <w:szCs w:val="23"/>
              </w:rPr>
              <w:t>1</w:t>
            </w:r>
          </w:p>
        </w:tc>
        <w:tc>
          <w:tcPr>
            <w:tcW w:w="0" w:type="auto"/>
          </w:tcPr>
          <w:p w14:paraId="5454F0B1" w14:textId="77777777" w:rsidR="007D508F" w:rsidRPr="007D508F" w:rsidRDefault="007D508F" w:rsidP="007D508F">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tcW w:w="0" w:type="auto"/>
          </w:tcPr>
          <w:p w14:paraId="59A2881F" w14:textId="77777777" w:rsidR="007D508F" w:rsidRPr="007D508F" w:rsidRDefault="007D508F" w:rsidP="007D508F">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tcW w:w="0" w:type="auto"/>
          </w:tcPr>
          <w:p w14:paraId="4B4CF496" w14:textId="77777777" w:rsidR="007D508F" w:rsidRPr="007D508F" w:rsidRDefault="007D508F" w:rsidP="007D508F">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r>
      <w:tr w:rsidR="007D508F" w:rsidRPr="007D508F" w14:paraId="5533D596" w14:textId="77777777" w:rsidTr="007D508F">
        <w:tc>
          <w:tcPr>
            <w:cnfStyle w:val="001000000000" w:firstRow="0" w:lastRow="0" w:firstColumn="1" w:lastColumn="0" w:oddVBand="0" w:evenVBand="0" w:oddHBand="0" w:evenHBand="0" w:firstRowFirstColumn="0" w:firstRowLastColumn="0" w:lastRowFirstColumn="0" w:lastRowLastColumn="0"/>
            <w:tcW w:w="0" w:type="auto"/>
          </w:tcPr>
          <w:p w14:paraId="33BCA69C" w14:textId="77777777" w:rsidR="007D508F" w:rsidRPr="007D508F" w:rsidRDefault="007D508F" w:rsidP="007D508F">
            <w:pPr>
              <w:spacing w:line="276" w:lineRule="auto"/>
              <w:jc w:val="both"/>
              <w:rPr>
                <w:rFonts w:ascii="Times New Roman" w:hAnsi="Times New Roman" w:cs="Times New Roman"/>
                <w:sz w:val="23"/>
                <w:szCs w:val="23"/>
              </w:rPr>
            </w:pPr>
            <w:r w:rsidRPr="007D508F">
              <w:rPr>
                <w:rFonts w:ascii="Times New Roman" w:hAnsi="Times New Roman" w:cs="Times New Roman"/>
                <w:b w:val="0"/>
                <w:bCs w:val="0"/>
                <w:sz w:val="23"/>
                <w:szCs w:val="23"/>
              </w:rPr>
              <w:t>2</w:t>
            </w:r>
          </w:p>
        </w:tc>
        <w:tc>
          <w:tcPr>
            <w:tcW w:w="0" w:type="auto"/>
          </w:tcPr>
          <w:p w14:paraId="6750739B" w14:textId="77777777" w:rsidR="007D508F" w:rsidRPr="007D508F" w:rsidRDefault="007D508F" w:rsidP="007D508F">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tcW w:w="0" w:type="auto"/>
          </w:tcPr>
          <w:p w14:paraId="146FDF59" w14:textId="77777777" w:rsidR="007D508F" w:rsidRPr="007D508F" w:rsidRDefault="007D508F" w:rsidP="007D508F">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tcW w:w="0" w:type="auto"/>
          </w:tcPr>
          <w:p w14:paraId="22D80B3D" w14:textId="77777777" w:rsidR="007D508F" w:rsidRPr="007D508F" w:rsidRDefault="007D508F" w:rsidP="007D508F">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r>
      <w:tr w:rsidR="007D508F" w:rsidRPr="007D508F" w14:paraId="202BB538" w14:textId="77777777" w:rsidTr="007D508F">
        <w:tc>
          <w:tcPr>
            <w:cnfStyle w:val="001000000000" w:firstRow="0" w:lastRow="0" w:firstColumn="1" w:lastColumn="0" w:oddVBand="0" w:evenVBand="0" w:oddHBand="0" w:evenHBand="0" w:firstRowFirstColumn="0" w:firstRowLastColumn="0" w:lastRowFirstColumn="0" w:lastRowLastColumn="0"/>
            <w:tcW w:w="0" w:type="auto"/>
          </w:tcPr>
          <w:p w14:paraId="4095BEB3" w14:textId="77777777" w:rsidR="007D508F" w:rsidRPr="007D508F" w:rsidRDefault="007D508F" w:rsidP="007D508F">
            <w:pPr>
              <w:spacing w:line="276" w:lineRule="auto"/>
              <w:jc w:val="both"/>
              <w:rPr>
                <w:rFonts w:ascii="Times New Roman" w:hAnsi="Times New Roman" w:cs="Times New Roman"/>
                <w:sz w:val="23"/>
                <w:szCs w:val="23"/>
              </w:rPr>
            </w:pPr>
            <w:r w:rsidRPr="007D508F">
              <w:rPr>
                <w:rFonts w:ascii="Times New Roman" w:hAnsi="Times New Roman" w:cs="Times New Roman"/>
                <w:b w:val="0"/>
                <w:bCs w:val="0"/>
                <w:sz w:val="23"/>
                <w:szCs w:val="23"/>
              </w:rPr>
              <w:t>…</w:t>
            </w:r>
          </w:p>
        </w:tc>
        <w:tc>
          <w:tcPr>
            <w:tcW w:w="0" w:type="auto"/>
          </w:tcPr>
          <w:p w14:paraId="4BC19F62" w14:textId="77777777" w:rsidR="007D508F" w:rsidRPr="007D508F" w:rsidRDefault="007D508F" w:rsidP="007D508F">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tcW w:w="0" w:type="auto"/>
          </w:tcPr>
          <w:p w14:paraId="5E0C61F2" w14:textId="77777777" w:rsidR="007D508F" w:rsidRPr="007D508F" w:rsidRDefault="007D508F" w:rsidP="007D508F">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tcW w:w="0" w:type="auto"/>
          </w:tcPr>
          <w:p w14:paraId="1C16579C" w14:textId="77777777" w:rsidR="007D508F" w:rsidRPr="007D508F" w:rsidRDefault="007D508F" w:rsidP="007D508F">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r>
      <w:tr w:rsidR="007D508F" w:rsidRPr="007D508F" w14:paraId="549C2E9B" w14:textId="77777777" w:rsidTr="007D508F">
        <w:tc>
          <w:tcPr>
            <w:cnfStyle w:val="001000000000" w:firstRow="0" w:lastRow="0" w:firstColumn="1" w:lastColumn="0" w:oddVBand="0" w:evenVBand="0" w:oddHBand="0" w:evenHBand="0" w:firstRowFirstColumn="0" w:firstRowLastColumn="0" w:lastRowFirstColumn="0" w:lastRowLastColumn="0"/>
            <w:tcW w:w="0" w:type="auto"/>
          </w:tcPr>
          <w:p w14:paraId="47D3EC00" w14:textId="77777777" w:rsidR="007D508F" w:rsidRPr="007D508F" w:rsidRDefault="007D508F" w:rsidP="007D508F">
            <w:pPr>
              <w:spacing w:line="276" w:lineRule="auto"/>
              <w:jc w:val="both"/>
              <w:rPr>
                <w:rFonts w:ascii="Times New Roman" w:hAnsi="Times New Roman" w:cs="Times New Roman"/>
                <w:sz w:val="23"/>
                <w:szCs w:val="23"/>
              </w:rPr>
            </w:pPr>
            <w:r w:rsidRPr="007D508F">
              <w:rPr>
                <w:rFonts w:ascii="Times New Roman" w:hAnsi="Times New Roman" w:cs="Times New Roman"/>
                <w:b w:val="0"/>
                <w:bCs w:val="0"/>
                <w:sz w:val="23"/>
                <w:szCs w:val="23"/>
              </w:rPr>
              <w:t>24</w:t>
            </w:r>
          </w:p>
        </w:tc>
        <w:tc>
          <w:tcPr>
            <w:tcW w:w="0" w:type="auto"/>
          </w:tcPr>
          <w:p w14:paraId="2811A0DB" w14:textId="77777777" w:rsidR="007D508F" w:rsidRPr="007D508F" w:rsidRDefault="007D508F" w:rsidP="007D508F">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tcW w:w="0" w:type="auto"/>
          </w:tcPr>
          <w:p w14:paraId="4754B7C4" w14:textId="77777777" w:rsidR="007D508F" w:rsidRPr="007D508F" w:rsidRDefault="007D508F" w:rsidP="007D508F">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c>
          <w:tcPr>
            <w:tcW w:w="0" w:type="auto"/>
          </w:tcPr>
          <w:p w14:paraId="181ABB9D" w14:textId="77777777" w:rsidR="007D508F" w:rsidRPr="007D508F" w:rsidRDefault="007D508F" w:rsidP="007D508F">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p>
        </w:tc>
      </w:tr>
    </w:tbl>
    <w:p w14:paraId="06B4CF79" w14:textId="77777777" w:rsidR="007D508F" w:rsidRPr="007D508F" w:rsidRDefault="007D508F" w:rsidP="007D508F">
      <w:pPr>
        <w:rPr>
          <w:rFonts w:ascii="Times New Roman" w:hAnsi="Times New Roman" w:cs="Times New Roman"/>
          <w:i/>
          <w:iCs/>
        </w:rPr>
      </w:pPr>
    </w:p>
    <w:tbl>
      <w:tblPr>
        <w:tblStyle w:val="GridTable1Light"/>
        <w:tblW w:w="0" w:type="auto"/>
        <w:tblLook w:val="04A0" w:firstRow="1" w:lastRow="0" w:firstColumn="1" w:lastColumn="0" w:noHBand="0" w:noVBand="1"/>
      </w:tblPr>
      <w:tblGrid>
        <w:gridCol w:w="1923"/>
        <w:gridCol w:w="222"/>
        <w:gridCol w:w="7097"/>
      </w:tblGrid>
      <w:tr w:rsidR="007D508F" w:rsidRPr="007D508F" w14:paraId="38E6B0F3" w14:textId="77777777" w:rsidTr="007D50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3"/>
          </w:tcPr>
          <w:p w14:paraId="6187FC4B" w14:textId="77777777" w:rsidR="007D508F" w:rsidRPr="007D508F" w:rsidRDefault="007D508F" w:rsidP="007D508F">
            <w:pPr>
              <w:spacing w:line="276" w:lineRule="auto"/>
              <w:jc w:val="center"/>
              <w:rPr>
                <w:rFonts w:ascii="Times New Roman" w:hAnsi="Times New Roman" w:cs="Times New Roman"/>
              </w:rPr>
            </w:pPr>
            <w:r w:rsidRPr="007D508F">
              <w:rPr>
                <w:rFonts w:ascii="Times New Roman" w:hAnsi="Times New Roman" w:cs="Times New Roman"/>
                <w:i/>
                <w:iCs/>
                <w:sz w:val="23"/>
                <w:szCs w:val="23"/>
              </w:rPr>
              <w:t>Legend:</w:t>
            </w:r>
          </w:p>
        </w:tc>
      </w:tr>
      <w:tr w:rsidR="007D508F" w:rsidRPr="000F19E5" w14:paraId="775F908A" w14:textId="77777777" w:rsidTr="007D508F">
        <w:tc>
          <w:tcPr>
            <w:cnfStyle w:val="001000000000" w:firstRow="0" w:lastRow="0" w:firstColumn="1" w:lastColumn="0" w:oddVBand="0" w:evenVBand="0" w:oddHBand="0" w:evenHBand="0" w:firstRowFirstColumn="0" w:firstRowLastColumn="0" w:lastRowFirstColumn="0" w:lastRowLastColumn="0"/>
            <w:tcW w:w="0" w:type="auto"/>
          </w:tcPr>
          <w:p w14:paraId="051F1CBE" w14:textId="77777777" w:rsidR="007D508F" w:rsidRPr="007D508F" w:rsidRDefault="007D508F" w:rsidP="007D508F">
            <w:pPr>
              <w:spacing w:line="276" w:lineRule="auto"/>
              <w:jc w:val="both"/>
              <w:rPr>
                <w:rFonts w:ascii="Times New Roman" w:hAnsi="Times New Roman" w:cs="Times New Roman"/>
                <w:i/>
                <w:iCs/>
                <w:sz w:val="23"/>
                <w:szCs w:val="23"/>
              </w:rPr>
            </w:pPr>
            <w:r w:rsidRPr="007D508F">
              <w:rPr>
                <w:rFonts w:ascii="Times New Roman" w:hAnsi="Times New Roman" w:cs="Times New Roman"/>
                <w:i/>
                <w:iCs/>
                <w:sz w:val="23"/>
                <w:szCs w:val="23"/>
              </w:rPr>
              <w:t>Criticality of indicator</w:t>
            </w:r>
          </w:p>
        </w:tc>
        <w:tc>
          <w:tcPr>
            <w:tcW w:w="0" w:type="auto"/>
            <w:gridSpan w:val="2"/>
          </w:tcPr>
          <w:p w14:paraId="159E5CEC" w14:textId="77777777" w:rsidR="007D508F" w:rsidRPr="007D508F" w:rsidRDefault="007D508F" w:rsidP="007D508F">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r w:rsidRPr="007D508F">
              <w:rPr>
                <w:rFonts w:ascii="Times New Roman" w:hAnsi="Times New Roman" w:cs="Times New Roman"/>
                <w:sz w:val="23"/>
                <w:szCs w:val="23"/>
              </w:rPr>
              <w:t>This could be measured on a scale of 0 to 5 based on a national multi-stakeholder evaluation (0 being not applicable and 5 being most critical).</w:t>
            </w:r>
          </w:p>
        </w:tc>
      </w:tr>
      <w:tr w:rsidR="007D508F" w:rsidRPr="000F19E5" w14:paraId="5347B1F8" w14:textId="77777777" w:rsidTr="007D508F">
        <w:tc>
          <w:tcPr>
            <w:cnfStyle w:val="001000000000" w:firstRow="0" w:lastRow="0" w:firstColumn="1" w:lastColumn="0" w:oddVBand="0" w:evenVBand="0" w:oddHBand="0" w:evenHBand="0" w:firstRowFirstColumn="0" w:firstRowLastColumn="0" w:lastRowFirstColumn="0" w:lastRowLastColumn="0"/>
            <w:tcW w:w="0" w:type="auto"/>
            <w:vMerge w:val="restart"/>
          </w:tcPr>
          <w:p w14:paraId="2838F0ED" w14:textId="77777777" w:rsidR="007D508F" w:rsidRPr="007D508F" w:rsidRDefault="007D508F" w:rsidP="007D508F">
            <w:pPr>
              <w:spacing w:line="276" w:lineRule="auto"/>
              <w:jc w:val="both"/>
              <w:rPr>
                <w:rFonts w:ascii="Times New Roman" w:hAnsi="Times New Roman" w:cs="Times New Roman"/>
                <w:i/>
                <w:iCs/>
                <w:sz w:val="23"/>
                <w:szCs w:val="23"/>
              </w:rPr>
            </w:pPr>
            <w:r w:rsidRPr="007D508F">
              <w:rPr>
                <w:rFonts w:ascii="Times New Roman" w:hAnsi="Times New Roman" w:cs="Times New Roman"/>
                <w:i/>
                <w:iCs/>
                <w:sz w:val="23"/>
                <w:szCs w:val="23"/>
              </w:rPr>
              <w:t>Existing data and capacity sufficient?</w:t>
            </w:r>
          </w:p>
        </w:tc>
        <w:tc>
          <w:tcPr>
            <w:tcW w:w="0" w:type="auto"/>
            <w:gridSpan w:val="2"/>
          </w:tcPr>
          <w:p w14:paraId="2B7F7211" w14:textId="77777777" w:rsidR="007D508F" w:rsidRPr="007D508F" w:rsidRDefault="007D508F" w:rsidP="007D508F">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r w:rsidRPr="007D508F">
              <w:rPr>
                <w:rFonts w:ascii="Times New Roman" w:hAnsi="Times New Roman" w:cs="Times New Roman"/>
                <w:sz w:val="23"/>
                <w:szCs w:val="23"/>
              </w:rPr>
              <w:t>Traffic light analogy for measurement process (not measurement result of sustainability):</w:t>
            </w:r>
          </w:p>
        </w:tc>
      </w:tr>
      <w:tr w:rsidR="007D508F" w:rsidRPr="000F19E5" w14:paraId="03356E77" w14:textId="77777777" w:rsidTr="007D508F">
        <w:tc>
          <w:tcPr>
            <w:cnfStyle w:val="001000000000" w:firstRow="0" w:lastRow="0" w:firstColumn="1" w:lastColumn="0" w:oddVBand="0" w:evenVBand="0" w:oddHBand="0" w:evenHBand="0" w:firstRowFirstColumn="0" w:firstRowLastColumn="0" w:lastRowFirstColumn="0" w:lastRowLastColumn="0"/>
            <w:tcW w:w="0" w:type="auto"/>
            <w:vMerge/>
          </w:tcPr>
          <w:p w14:paraId="00834EFD" w14:textId="77777777" w:rsidR="007D508F" w:rsidRPr="007D508F" w:rsidRDefault="007D508F" w:rsidP="005240CE">
            <w:pPr>
              <w:rPr>
                <w:rFonts w:ascii="Times New Roman" w:hAnsi="Times New Roman" w:cs="Times New Roman"/>
              </w:rPr>
            </w:pPr>
          </w:p>
        </w:tc>
        <w:tc>
          <w:tcPr>
            <w:tcW w:w="0" w:type="auto"/>
            <w:shd w:val="clear" w:color="auto" w:fill="70AD47" w:themeFill="accent6"/>
          </w:tcPr>
          <w:p w14:paraId="4879F5DC" w14:textId="77777777" w:rsidR="007D508F" w:rsidRPr="007D508F" w:rsidRDefault="007D508F" w:rsidP="005240C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0" w:type="auto"/>
          </w:tcPr>
          <w:p w14:paraId="09D9CA60" w14:textId="77777777" w:rsidR="007D508F" w:rsidRPr="007D508F" w:rsidRDefault="007D508F" w:rsidP="007D508F">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r w:rsidRPr="007D508F">
              <w:rPr>
                <w:rFonts w:ascii="Times New Roman" w:hAnsi="Times New Roman" w:cs="Times New Roman"/>
                <w:sz w:val="23"/>
                <w:szCs w:val="23"/>
              </w:rPr>
              <w:t>Good existing data, methodology and capacity to carry out an accurate measurement of this indicator; provides a preliminary value that is estimated to be close enough to the one obtainable with a full in-depth sustainability assessment.</w:t>
            </w:r>
          </w:p>
        </w:tc>
      </w:tr>
      <w:tr w:rsidR="007D508F" w:rsidRPr="000F19E5" w14:paraId="032B31C5" w14:textId="77777777" w:rsidTr="007D508F">
        <w:tc>
          <w:tcPr>
            <w:cnfStyle w:val="001000000000" w:firstRow="0" w:lastRow="0" w:firstColumn="1" w:lastColumn="0" w:oddVBand="0" w:evenVBand="0" w:oddHBand="0" w:evenHBand="0" w:firstRowFirstColumn="0" w:firstRowLastColumn="0" w:lastRowFirstColumn="0" w:lastRowLastColumn="0"/>
            <w:tcW w:w="0" w:type="auto"/>
            <w:vMerge/>
          </w:tcPr>
          <w:p w14:paraId="33DB7770" w14:textId="77777777" w:rsidR="007D508F" w:rsidRPr="007D508F" w:rsidRDefault="007D508F" w:rsidP="005240CE">
            <w:pPr>
              <w:rPr>
                <w:rFonts w:ascii="Times New Roman" w:hAnsi="Times New Roman" w:cs="Times New Roman"/>
              </w:rPr>
            </w:pPr>
          </w:p>
        </w:tc>
        <w:tc>
          <w:tcPr>
            <w:tcW w:w="0" w:type="auto"/>
            <w:shd w:val="clear" w:color="auto" w:fill="FFC000" w:themeFill="accent4"/>
          </w:tcPr>
          <w:p w14:paraId="0581E3FA" w14:textId="77777777" w:rsidR="007D508F" w:rsidRPr="007D508F" w:rsidRDefault="007D508F" w:rsidP="005240C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0" w:type="auto"/>
          </w:tcPr>
          <w:p w14:paraId="6313A198" w14:textId="77777777" w:rsidR="007D508F" w:rsidRPr="007D508F" w:rsidRDefault="007D508F" w:rsidP="007D508F">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r w:rsidRPr="007D508F">
              <w:rPr>
                <w:rFonts w:ascii="Times New Roman" w:hAnsi="Times New Roman" w:cs="Times New Roman"/>
                <w:sz w:val="23"/>
                <w:szCs w:val="23"/>
              </w:rPr>
              <w:t>A preliminary value can be obtained (e.g. through a proxy approach or with estimated data values) but further data/capacity is required to measure the indicator using the comprehensive methodology and to a sufficient accuracy.</w:t>
            </w:r>
          </w:p>
        </w:tc>
      </w:tr>
      <w:tr w:rsidR="007D508F" w:rsidRPr="000F19E5" w14:paraId="13AF9C4A" w14:textId="77777777" w:rsidTr="007D508F">
        <w:tc>
          <w:tcPr>
            <w:cnfStyle w:val="001000000000" w:firstRow="0" w:lastRow="0" w:firstColumn="1" w:lastColumn="0" w:oddVBand="0" w:evenVBand="0" w:oddHBand="0" w:evenHBand="0" w:firstRowFirstColumn="0" w:firstRowLastColumn="0" w:lastRowFirstColumn="0" w:lastRowLastColumn="0"/>
            <w:tcW w:w="0" w:type="auto"/>
            <w:vMerge/>
          </w:tcPr>
          <w:p w14:paraId="2B20F51C" w14:textId="77777777" w:rsidR="007D508F" w:rsidRPr="007D508F" w:rsidRDefault="007D508F" w:rsidP="005240CE">
            <w:pPr>
              <w:rPr>
                <w:rFonts w:ascii="Times New Roman" w:hAnsi="Times New Roman" w:cs="Times New Roman"/>
              </w:rPr>
            </w:pPr>
          </w:p>
        </w:tc>
        <w:tc>
          <w:tcPr>
            <w:tcW w:w="0" w:type="auto"/>
            <w:shd w:val="clear" w:color="auto" w:fill="FF0000"/>
          </w:tcPr>
          <w:p w14:paraId="2A6802E6" w14:textId="77777777" w:rsidR="007D508F" w:rsidRPr="007D508F" w:rsidRDefault="007D508F" w:rsidP="005240C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0" w:type="auto"/>
          </w:tcPr>
          <w:p w14:paraId="73440639" w14:textId="77777777" w:rsidR="007D508F" w:rsidRPr="007D508F" w:rsidRDefault="007D508F" w:rsidP="007D508F">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3"/>
                <w:szCs w:val="23"/>
              </w:rPr>
            </w:pPr>
            <w:r w:rsidRPr="007D508F">
              <w:rPr>
                <w:rFonts w:ascii="Times New Roman" w:hAnsi="Times New Roman" w:cs="Times New Roman"/>
                <w:sz w:val="23"/>
                <w:szCs w:val="23"/>
              </w:rPr>
              <w:t>No preliminary value can be obtained; an in-depth measurement is needed.</w:t>
            </w:r>
          </w:p>
        </w:tc>
      </w:tr>
    </w:tbl>
    <w:p w14:paraId="1A332D55" w14:textId="77777777" w:rsidR="007D508F" w:rsidRPr="007D508F" w:rsidRDefault="007D508F" w:rsidP="006C774E">
      <w:pPr>
        <w:spacing w:after="200" w:line="276" w:lineRule="auto"/>
        <w:jc w:val="both"/>
        <w:rPr>
          <w:rFonts w:ascii="Times New Roman" w:hAnsi="Times New Roman" w:cs="Times New Roman"/>
          <w:lang w:val="en-GB"/>
        </w:rPr>
      </w:pPr>
    </w:p>
    <w:sectPr w:rsidR="007D508F" w:rsidRPr="007D508F">
      <w:headerReference w:type="default" r:id="rId10"/>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F799BE" w14:textId="77777777" w:rsidR="00363441" w:rsidRDefault="00363441" w:rsidP="00D86A80">
      <w:pPr>
        <w:spacing w:after="0" w:line="240" w:lineRule="auto"/>
      </w:pPr>
      <w:r>
        <w:separator/>
      </w:r>
    </w:p>
  </w:endnote>
  <w:endnote w:type="continuationSeparator" w:id="0">
    <w:p w14:paraId="6D523929" w14:textId="77777777" w:rsidR="00363441" w:rsidRDefault="00363441" w:rsidP="00D86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60FC3B" w14:textId="77777777" w:rsidR="00363441" w:rsidRDefault="00363441" w:rsidP="00D86A80">
      <w:pPr>
        <w:spacing w:after="0" w:line="240" w:lineRule="auto"/>
      </w:pPr>
      <w:r>
        <w:separator/>
      </w:r>
    </w:p>
  </w:footnote>
  <w:footnote w:type="continuationSeparator" w:id="0">
    <w:p w14:paraId="0733985E" w14:textId="77777777" w:rsidR="00363441" w:rsidRDefault="00363441" w:rsidP="00D86A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2FD4A0" w14:textId="787521E9" w:rsidR="00D86A80" w:rsidRDefault="00D86A80">
    <w:pPr>
      <w:pStyle w:val="Header"/>
    </w:pPr>
    <w:r>
      <w:rPr>
        <w:noProof/>
        <w:lang w:eastAsia="it-IT"/>
      </w:rPr>
      <w:drawing>
        <wp:inline distT="0" distB="0" distL="0" distR="0" wp14:anchorId="40A2F123" wp14:editId="1D1A148A">
          <wp:extent cx="5731510" cy="630099"/>
          <wp:effectExtent l="0" t="0" r="254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31510" cy="63009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64FA3"/>
    <w:multiLevelType w:val="hybridMultilevel"/>
    <w:tmpl w:val="C3205F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1A5F72"/>
    <w:multiLevelType w:val="hybridMultilevel"/>
    <w:tmpl w:val="A5E81DF4"/>
    <w:lvl w:ilvl="0" w:tplc="A446AE98">
      <w:start w:val="1"/>
      <w:numFmt w:val="bullet"/>
      <w:lvlText w:val=""/>
      <w:lvlJc w:val="left"/>
      <w:pPr>
        <w:ind w:left="720" w:hanging="360"/>
      </w:pPr>
      <w:rPr>
        <w:rFonts w:ascii="Symbol" w:hAnsi="Symbol" w:hint="default"/>
      </w:rPr>
    </w:lvl>
    <w:lvl w:ilvl="1" w:tplc="B1E65594">
      <w:start w:val="1"/>
      <w:numFmt w:val="bullet"/>
      <w:lvlText w:val="o"/>
      <w:lvlJc w:val="left"/>
      <w:pPr>
        <w:ind w:left="1440" w:hanging="360"/>
      </w:pPr>
      <w:rPr>
        <w:rFonts w:ascii="Courier New" w:hAnsi="Courier New" w:hint="default"/>
      </w:rPr>
    </w:lvl>
    <w:lvl w:ilvl="2" w:tplc="60F8A78A">
      <w:start w:val="1"/>
      <w:numFmt w:val="bullet"/>
      <w:lvlText w:val=""/>
      <w:lvlJc w:val="left"/>
      <w:pPr>
        <w:ind w:left="2160" w:hanging="360"/>
      </w:pPr>
      <w:rPr>
        <w:rFonts w:ascii="Wingdings" w:hAnsi="Wingdings" w:hint="default"/>
      </w:rPr>
    </w:lvl>
    <w:lvl w:ilvl="3" w:tplc="DC8C9C1E">
      <w:start w:val="1"/>
      <w:numFmt w:val="bullet"/>
      <w:lvlText w:val=""/>
      <w:lvlJc w:val="left"/>
      <w:pPr>
        <w:ind w:left="2880" w:hanging="360"/>
      </w:pPr>
      <w:rPr>
        <w:rFonts w:ascii="Symbol" w:hAnsi="Symbol" w:hint="default"/>
      </w:rPr>
    </w:lvl>
    <w:lvl w:ilvl="4" w:tplc="BB58B756">
      <w:start w:val="1"/>
      <w:numFmt w:val="bullet"/>
      <w:lvlText w:val="o"/>
      <w:lvlJc w:val="left"/>
      <w:pPr>
        <w:ind w:left="3600" w:hanging="360"/>
      </w:pPr>
      <w:rPr>
        <w:rFonts w:ascii="Courier New" w:hAnsi="Courier New" w:hint="default"/>
      </w:rPr>
    </w:lvl>
    <w:lvl w:ilvl="5" w:tplc="06D6A358">
      <w:start w:val="1"/>
      <w:numFmt w:val="bullet"/>
      <w:lvlText w:val=""/>
      <w:lvlJc w:val="left"/>
      <w:pPr>
        <w:ind w:left="4320" w:hanging="360"/>
      </w:pPr>
      <w:rPr>
        <w:rFonts w:ascii="Wingdings" w:hAnsi="Wingdings" w:hint="default"/>
      </w:rPr>
    </w:lvl>
    <w:lvl w:ilvl="6" w:tplc="06C65616">
      <w:start w:val="1"/>
      <w:numFmt w:val="bullet"/>
      <w:lvlText w:val=""/>
      <w:lvlJc w:val="left"/>
      <w:pPr>
        <w:ind w:left="5040" w:hanging="360"/>
      </w:pPr>
      <w:rPr>
        <w:rFonts w:ascii="Symbol" w:hAnsi="Symbol" w:hint="default"/>
      </w:rPr>
    </w:lvl>
    <w:lvl w:ilvl="7" w:tplc="25605394">
      <w:start w:val="1"/>
      <w:numFmt w:val="bullet"/>
      <w:lvlText w:val="o"/>
      <w:lvlJc w:val="left"/>
      <w:pPr>
        <w:ind w:left="5760" w:hanging="360"/>
      </w:pPr>
      <w:rPr>
        <w:rFonts w:ascii="Courier New" w:hAnsi="Courier New" w:hint="default"/>
      </w:rPr>
    </w:lvl>
    <w:lvl w:ilvl="8" w:tplc="D034D05E">
      <w:start w:val="1"/>
      <w:numFmt w:val="bullet"/>
      <w:lvlText w:val=""/>
      <w:lvlJc w:val="left"/>
      <w:pPr>
        <w:ind w:left="6480" w:hanging="360"/>
      </w:pPr>
      <w:rPr>
        <w:rFonts w:ascii="Wingdings" w:hAnsi="Wingdings" w:hint="default"/>
      </w:rPr>
    </w:lvl>
  </w:abstractNum>
  <w:abstractNum w:abstractNumId="2" w15:restartNumberingAfterBreak="0">
    <w:nsid w:val="1FD97E9F"/>
    <w:multiLevelType w:val="hybridMultilevel"/>
    <w:tmpl w:val="EC7CF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7651AD"/>
    <w:multiLevelType w:val="hybridMultilevel"/>
    <w:tmpl w:val="30B848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7B59F5"/>
    <w:multiLevelType w:val="hybridMultilevel"/>
    <w:tmpl w:val="BA8C0614"/>
    <w:lvl w:ilvl="0" w:tplc="830CEFB6">
      <w:start w:val="1"/>
      <w:numFmt w:val="bullet"/>
      <w:lvlText w:val=""/>
      <w:lvlJc w:val="left"/>
      <w:pPr>
        <w:ind w:left="720" w:hanging="360"/>
      </w:pPr>
      <w:rPr>
        <w:rFonts w:ascii="Symbol" w:hAnsi="Symbol" w:hint="default"/>
      </w:rPr>
    </w:lvl>
    <w:lvl w:ilvl="1" w:tplc="CCC4F596">
      <w:start w:val="1"/>
      <w:numFmt w:val="bullet"/>
      <w:lvlText w:val="o"/>
      <w:lvlJc w:val="left"/>
      <w:pPr>
        <w:ind w:left="1440" w:hanging="360"/>
      </w:pPr>
      <w:rPr>
        <w:rFonts w:ascii="Courier New" w:hAnsi="Courier New" w:hint="default"/>
      </w:rPr>
    </w:lvl>
    <w:lvl w:ilvl="2" w:tplc="2AFC5CDE">
      <w:start w:val="1"/>
      <w:numFmt w:val="bullet"/>
      <w:lvlText w:val=""/>
      <w:lvlJc w:val="left"/>
      <w:pPr>
        <w:ind w:left="2160" w:hanging="360"/>
      </w:pPr>
      <w:rPr>
        <w:rFonts w:ascii="Wingdings" w:hAnsi="Wingdings" w:hint="default"/>
      </w:rPr>
    </w:lvl>
    <w:lvl w:ilvl="3" w:tplc="1E645FB4">
      <w:start w:val="1"/>
      <w:numFmt w:val="bullet"/>
      <w:lvlText w:val=""/>
      <w:lvlJc w:val="left"/>
      <w:pPr>
        <w:ind w:left="2880" w:hanging="360"/>
      </w:pPr>
      <w:rPr>
        <w:rFonts w:ascii="Symbol" w:hAnsi="Symbol" w:hint="default"/>
      </w:rPr>
    </w:lvl>
    <w:lvl w:ilvl="4" w:tplc="E0328D6E">
      <w:start w:val="1"/>
      <w:numFmt w:val="bullet"/>
      <w:lvlText w:val="o"/>
      <w:lvlJc w:val="left"/>
      <w:pPr>
        <w:ind w:left="3600" w:hanging="360"/>
      </w:pPr>
      <w:rPr>
        <w:rFonts w:ascii="Courier New" w:hAnsi="Courier New" w:hint="default"/>
      </w:rPr>
    </w:lvl>
    <w:lvl w:ilvl="5" w:tplc="1FF6A040">
      <w:start w:val="1"/>
      <w:numFmt w:val="bullet"/>
      <w:lvlText w:val=""/>
      <w:lvlJc w:val="left"/>
      <w:pPr>
        <w:ind w:left="4320" w:hanging="360"/>
      </w:pPr>
      <w:rPr>
        <w:rFonts w:ascii="Wingdings" w:hAnsi="Wingdings" w:hint="default"/>
      </w:rPr>
    </w:lvl>
    <w:lvl w:ilvl="6" w:tplc="26084384">
      <w:start w:val="1"/>
      <w:numFmt w:val="bullet"/>
      <w:lvlText w:val=""/>
      <w:lvlJc w:val="left"/>
      <w:pPr>
        <w:ind w:left="5040" w:hanging="360"/>
      </w:pPr>
      <w:rPr>
        <w:rFonts w:ascii="Symbol" w:hAnsi="Symbol" w:hint="default"/>
      </w:rPr>
    </w:lvl>
    <w:lvl w:ilvl="7" w:tplc="7A4A0526">
      <w:start w:val="1"/>
      <w:numFmt w:val="bullet"/>
      <w:lvlText w:val="o"/>
      <w:lvlJc w:val="left"/>
      <w:pPr>
        <w:ind w:left="5760" w:hanging="360"/>
      </w:pPr>
      <w:rPr>
        <w:rFonts w:ascii="Courier New" w:hAnsi="Courier New" w:hint="default"/>
      </w:rPr>
    </w:lvl>
    <w:lvl w:ilvl="8" w:tplc="C9DA343A">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4E821AA"/>
    <w:rsid w:val="0009361D"/>
    <w:rsid w:val="000F19E5"/>
    <w:rsid w:val="00363441"/>
    <w:rsid w:val="00626BAD"/>
    <w:rsid w:val="006C774E"/>
    <w:rsid w:val="007D508F"/>
    <w:rsid w:val="00A91AE7"/>
    <w:rsid w:val="00B74642"/>
    <w:rsid w:val="00CE2AB0"/>
    <w:rsid w:val="00D86A80"/>
    <w:rsid w:val="24E821AA"/>
    <w:rsid w:val="3E4E2E65"/>
    <w:rsid w:val="41C77B95"/>
    <w:rsid w:val="42957BA7"/>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69F37"/>
  <w15:docId w15:val="{E2656F85-EB32-4DAB-93F5-33BB8B47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D86A80"/>
    <w:pPr>
      <w:tabs>
        <w:tab w:val="center" w:pos="4819"/>
        <w:tab w:val="right" w:pos="9638"/>
      </w:tabs>
      <w:spacing w:after="0" w:line="240" w:lineRule="auto"/>
    </w:pPr>
  </w:style>
  <w:style w:type="character" w:customStyle="1" w:styleId="HeaderChar">
    <w:name w:val="Header Char"/>
    <w:basedOn w:val="DefaultParagraphFont"/>
    <w:link w:val="Header"/>
    <w:uiPriority w:val="99"/>
    <w:rsid w:val="00D86A80"/>
  </w:style>
  <w:style w:type="paragraph" w:styleId="Footer">
    <w:name w:val="footer"/>
    <w:basedOn w:val="Normal"/>
    <w:link w:val="FooterChar"/>
    <w:uiPriority w:val="99"/>
    <w:unhideWhenUsed/>
    <w:rsid w:val="00D86A80"/>
    <w:pPr>
      <w:tabs>
        <w:tab w:val="center" w:pos="4819"/>
        <w:tab w:val="right" w:pos="9638"/>
      </w:tabs>
      <w:spacing w:after="0" w:line="240" w:lineRule="auto"/>
    </w:pPr>
  </w:style>
  <w:style w:type="character" w:customStyle="1" w:styleId="FooterChar">
    <w:name w:val="Footer Char"/>
    <w:basedOn w:val="DefaultParagraphFont"/>
    <w:link w:val="Footer"/>
    <w:uiPriority w:val="99"/>
    <w:rsid w:val="00D86A80"/>
  </w:style>
  <w:style w:type="paragraph" w:styleId="BalloonText">
    <w:name w:val="Balloon Text"/>
    <w:basedOn w:val="Normal"/>
    <w:link w:val="BalloonTextChar"/>
    <w:uiPriority w:val="99"/>
    <w:semiHidden/>
    <w:unhideWhenUsed/>
    <w:rsid w:val="00D86A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6A80"/>
    <w:rPr>
      <w:rFonts w:ascii="Tahoma" w:hAnsi="Tahoma" w:cs="Tahoma"/>
      <w:sz w:val="16"/>
      <w:szCs w:val="16"/>
    </w:rPr>
  </w:style>
  <w:style w:type="table" w:styleId="GridTable1Light">
    <w:name w:val="Grid Table 1 Light"/>
    <w:basedOn w:val="TableNormal"/>
    <w:uiPriority w:val="46"/>
    <w:rsid w:val="007D508F"/>
    <w:pPr>
      <w:spacing w:after="0" w:line="240" w:lineRule="auto"/>
    </w:pPr>
    <w:rPr>
      <w:rFonts w:eastAsiaTheme="minorEastAsia"/>
      <w:lang w:val="en-US"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70B13E1B46894987A56CE1DAEBC7BE" ma:contentTypeVersion="11" ma:contentTypeDescription="Create a new document." ma:contentTypeScope="" ma:versionID="36d71cae93889c5391470750f8624888">
  <xsd:schema xmlns:xsd="http://www.w3.org/2001/XMLSchema" xmlns:xs="http://www.w3.org/2001/XMLSchema" xmlns:p="http://schemas.microsoft.com/office/2006/metadata/properties" xmlns:ns2="cc7ce8ca-8f52-44ec-9496-3c41d0f5ad18" xmlns:ns3="5ef6eb03-9133-4e0c-85f7-7fcffca7dd31" targetNamespace="http://schemas.microsoft.com/office/2006/metadata/properties" ma:root="true" ma:fieldsID="e2f538c334e3ad9b0399599bb220b20a" ns2:_="" ns3:_="">
    <xsd:import namespace="cc7ce8ca-8f52-44ec-9496-3c41d0f5ad18"/>
    <xsd:import namespace="5ef6eb03-9133-4e0c-85f7-7fcffca7dd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7ce8ca-8f52-44ec-9496-3c41d0f5ad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ef6eb03-9133-4e0c-85f7-7fcffca7dd3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28D986-31B5-4A72-BCD8-544961C93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7ce8ca-8f52-44ec-9496-3c41d0f5ad18"/>
    <ds:schemaRef ds:uri="5ef6eb03-9133-4e0c-85f7-7fcffca7dd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8F3DF2-6AE4-41AA-95E4-7E75F1859F23}">
  <ds:schemaRefs>
    <ds:schemaRef ds:uri="http://schemas.microsoft.com/sharepoint/v3/contenttype/forms"/>
  </ds:schemaRefs>
</ds:datastoreItem>
</file>

<file path=customXml/itemProps3.xml><?xml version="1.0" encoding="utf-8"?>
<ds:datastoreItem xmlns:ds="http://schemas.openxmlformats.org/officeDocument/2006/customXml" ds:itemID="{5B4F3C87-1FBC-4F4B-B049-C0C63EF9BCF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c7ce8ca-8f52-44ec-9496-3c41d0f5ad18"/>
    <ds:schemaRef ds:uri="5ef6eb03-9133-4e0c-85f7-7fcffca7dd3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1146</Words>
  <Characters>6536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Constance (CBCD)</dc:creator>
  <cp:keywords/>
  <dc:description/>
  <cp:lastModifiedBy>Federico Spano</cp:lastModifiedBy>
  <cp:revision>7</cp:revision>
  <dcterms:created xsi:type="dcterms:W3CDTF">2019-11-27T21:42:00Z</dcterms:created>
  <dcterms:modified xsi:type="dcterms:W3CDTF">2021-01-25T10:20:00Z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0x0101004C70B13E1B46894987A56CE1DAEBC7BE</vt:lpwstr>
  </property>
</Properties>
</file>