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1A" w:rsidRDefault="000D55A1">
      <w:pPr>
        <w:pBdr>
          <w:top w:val="nil"/>
          <w:left w:val="nil"/>
          <w:bottom w:val="nil"/>
          <w:right w:val="nil"/>
          <w:between w:val="nil"/>
        </w:pBdr>
        <w:ind w:left="3180"/>
        <w:rPr>
          <w:rFonts w:ascii="Times New Roman" w:eastAsia="Times New Roman" w:hAnsi="Times New Roman" w:cs="Times New Roman"/>
          <w:color w:val="000000"/>
          <w:sz w:val="20"/>
          <w:szCs w:val="20"/>
        </w:rPr>
      </w:pPr>
      <w:bookmarkStart w:id="0" w:name="_heading=h.30j0zll" w:colFirst="0" w:colLast="0"/>
      <w:bookmarkEnd w:id="0"/>
      <w:r>
        <w:rPr>
          <w:rFonts w:ascii="Times New Roman" w:eastAsia="Times New Roman" w:hAnsi="Times New Roman" w:cs="Times New Roman"/>
          <w:noProof/>
          <w:color w:val="000000"/>
          <w:sz w:val="20"/>
          <w:szCs w:val="20"/>
        </w:rPr>
        <w:drawing>
          <wp:inline distT="0" distB="0" distL="0" distR="0">
            <wp:extent cx="2420873" cy="877824"/>
            <wp:effectExtent l="0" t="0" r="0" b="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2420873" cy="877824"/>
                    </a:xfrm>
                    <a:prstGeom prst="rect">
                      <a:avLst/>
                    </a:prstGeom>
                    <a:ln/>
                  </pic:spPr>
                </pic:pic>
              </a:graphicData>
            </a:graphic>
          </wp:inline>
        </w:drawing>
      </w: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0D55A1">
      <w:pPr>
        <w:pBdr>
          <w:top w:val="nil"/>
          <w:left w:val="nil"/>
          <w:bottom w:val="nil"/>
          <w:right w:val="nil"/>
          <w:between w:val="nil"/>
        </w:pBdr>
        <w:spacing w:before="1"/>
        <w:rPr>
          <w:rFonts w:ascii="Times New Roman" w:eastAsia="Times New Roman" w:hAnsi="Times New Roman" w:cs="Times New Roman"/>
          <w:color w:val="000000"/>
          <w:sz w:val="21"/>
          <w:szCs w:val="21"/>
        </w:rPr>
      </w:pPr>
      <w:r>
        <w:rPr>
          <w:noProof/>
        </w:rPr>
        <mc:AlternateContent>
          <mc:Choice Requires="wpg">
            <w:drawing>
              <wp:anchor distT="0" distB="0" distL="0" distR="0" simplePos="0" relativeHeight="251658240" behindDoc="0" locked="0" layoutInCell="1" hidden="0" allowOverlap="1">
                <wp:simplePos x="0" y="0"/>
                <wp:positionH relativeFrom="column">
                  <wp:posOffset>63500</wp:posOffset>
                </wp:positionH>
                <wp:positionV relativeFrom="paragraph">
                  <wp:posOffset>127000</wp:posOffset>
                </wp:positionV>
                <wp:extent cx="6296660" cy="363220"/>
                <wp:effectExtent l="0" t="0" r="0" b="0"/>
                <wp:wrapTopAndBottom distT="0" distB="0"/>
                <wp:docPr id="6" name="Rectangle 6"/>
                <wp:cNvGraphicFramePr/>
                <a:graphic xmlns:a="http://schemas.openxmlformats.org/drawingml/2006/main">
                  <a:graphicData uri="http://schemas.microsoft.com/office/word/2010/wordprocessingShape">
                    <wps:wsp>
                      <wps:cNvSpPr/>
                      <wps:spPr>
                        <a:xfrm>
                          <a:off x="2207195" y="3607915"/>
                          <a:ext cx="6277610" cy="344170"/>
                        </a:xfrm>
                        <a:prstGeom prst="rect">
                          <a:avLst/>
                        </a:prstGeom>
                        <a:solidFill>
                          <a:srgbClr val="8D1919"/>
                        </a:solidFill>
                        <a:ln>
                          <a:noFill/>
                        </a:ln>
                      </wps:spPr>
                      <wps:txbx>
                        <w:txbxContent>
                          <w:p w:rsidR="00205F1A" w:rsidRDefault="000D55A1">
                            <w:pPr>
                              <w:spacing w:before="148"/>
                              <w:ind w:left="45" w:firstLine="45"/>
                              <w:textDirection w:val="btLr"/>
                            </w:pPr>
                            <w:r>
                              <w:rPr>
                                <w:b/>
                                <w:color w:val="FFFFFF"/>
                                <w:sz w:val="20"/>
                              </w:rPr>
                              <w:t>Position Information</w:t>
                            </w:r>
                          </w:p>
                        </w:txbxContent>
                      </wps:txbx>
                      <wps:bodyPr spcFirstLastPara="1" wrap="squar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63500</wp:posOffset>
                </wp:positionH>
                <wp:positionV relativeFrom="paragraph">
                  <wp:posOffset>127000</wp:posOffset>
                </wp:positionV>
                <wp:extent cx="6296660" cy="363220"/>
                <wp:effectExtent b="0" l="0" r="0" t="0"/>
                <wp:wrapTopAndBottom distB="0" distT="0"/>
                <wp:docPr id="6"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6296660" cy="363220"/>
                        </a:xfrm>
                        <a:prstGeom prst="rect"/>
                        <a:ln/>
                      </pic:spPr>
                    </pic:pic>
                  </a:graphicData>
                </a:graphic>
              </wp:anchor>
            </w:drawing>
          </mc:Fallback>
        </mc:AlternateContent>
      </w:r>
    </w:p>
    <w:tbl>
      <w:tblPr>
        <w:tblStyle w:val="a"/>
        <w:tblW w:w="9904"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5"/>
        <w:gridCol w:w="966"/>
        <w:gridCol w:w="6583"/>
      </w:tblGrid>
      <w:tr w:rsidR="00205F1A">
        <w:trPr>
          <w:trHeight w:val="539"/>
        </w:trPr>
        <w:tc>
          <w:tcPr>
            <w:tcW w:w="3321" w:type="dxa"/>
            <w:gridSpan w:val="2"/>
            <w:tcBorders>
              <w:bottom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6"/>
              <w:ind w:left="68"/>
              <w:rPr>
                <w:b/>
                <w:color w:val="000000"/>
                <w:sz w:val="17"/>
                <w:szCs w:val="17"/>
              </w:rPr>
            </w:pPr>
            <w:r>
              <w:rPr>
                <w:b/>
                <w:color w:val="000000"/>
                <w:sz w:val="17"/>
                <w:szCs w:val="17"/>
              </w:rPr>
              <w:t>Job Code and Title</w:t>
            </w:r>
          </w:p>
        </w:tc>
        <w:tc>
          <w:tcPr>
            <w:tcW w:w="6583" w:type="dxa"/>
            <w:tcBorders>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154"/>
              <w:ind w:left="48"/>
              <w:rPr>
                <w:color w:val="000000"/>
                <w:sz w:val="19"/>
                <w:szCs w:val="19"/>
              </w:rPr>
            </w:pPr>
            <w:r>
              <w:rPr>
                <w:color w:val="000000"/>
                <w:sz w:val="19"/>
                <w:szCs w:val="19"/>
              </w:rPr>
              <w:t>(9549) Veterinary Medical-Grad Program</w:t>
            </w:r>
          </w:p>
        </w:tc>
      </w:tr>
      <w:tr w:rsidR="00205F1A">
        <w:trPr>
          <w:trHeight w:val="539"/>
        </w:trPr>
        <w:tc>
          <w:tcPr>
            <w:tcW w:w="3321" w:type="dxa"/>
            <w:gridSpan w:val="2"/>
            <w:tcBorders>
              <w:top w:val="single" w:sz="6" w:space="0" w:color="FFFFFF"/>
              <w:bottom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6"/>
              <w:ind w:left="68"/>
              <w:rPr>
                <w:b/>
                <w:color w:val="000000"/>
                <w:sz w:val="17"/>
                <w:szCs w:val="17"/>
              </w:rPr>
            </w:pPr>
            <w:r>
              <w:rPr>
                <w:b/>
                <w:color w:val="000000"/>
                <w:sz w:val="17"/>
                <w:szCs w:val="17"/>
              </w:rPr>
              <w:t>Position Title</w:t>
            </w:r>
          </w:p>
        </w:tc>
        <w:tc>
          <w:tcPr>
            <w:tcW w:w="6583" w:type="dxa"/>
            <w:tcBorders>
              <w:top w:val="single" w:sz="6" w:space="0" w:color="FFFFFF"/>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154"/>
              <w:ind w:left="48"/>
              <w:rPr>
                <w:color w:val="000000"/>
                <w:sz w:val="19"/>
                <w:szCs w:val="19"/>
              </w:rPr>
            </w:pPr>
            <w:r>
              <w:rPr>
                <w:color w:val="000000"/>
                <w:sz w:val="19"/>
                <w:szCs w:val="19"/>
              </w:rPr>
              <w:t>Veterinary Public Health Resident</w:t>
            </w:r>
          </w:p>
        </w:tc>
      </w:tr>
      <w:tr w:rsidR="00205F1A">
        <w:trPr>
          <w:trHeight w:val="539"/>
        </w:trPr>
        <w:tc>
          <w:tcPr>
            <w:tcW w:w="3321" w:type="dxa"/>
            <w:gridSpan w:val="2"/>
            <w:tcBorders>
              <w:top w:val="single" w:sz="6" w:space="0" w:color="FFFFFF"/>
              <w:bottom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6"/>
              <w:ind w:left="68"/>
              <w:rPr>
                <w:b/>
                <w:color w:val="000000"/>
                <w:sz w:val="17"/>
                <w:szCs w:val="17"/>
              </w:rPr>
            </w:pPr>
            <w:r>
              <w:rPr>
                <w:b/>
                <w:color w:val="000000"/>
                <w:sz w:val="17"/>
                <w:szCs w:val="17"/>
              </w:rPr>
              <w:t>Requisition Number</w:t>
            </w:r>
          </w:p>
        </w:tc>
        <w:tc>
          <w:tcPr>
            <w:tcW w:w="6583" w:type="dxa"/>
            <w:tcBorders>
              <w:top w:val="single" w:sz="6" w:space="0" w:color="FFFFFF"/>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153"/>
              <w:ind w:left="48"/>
              <w:rPr>
                <w:color w:val="000000"/>
                <w:sz w:val="19"/>
                <w:szCs w:val="19"/>
                <w:highlight w:val="yellow"/>
              </w:rPr>
            </w:pPr>
            <w:r>
              <w:rPr>
                <w:color w:val="000000"/>
                <w:sz w:val="19"/>
                <w:szCs w:val="19"/>
                <w:highlight w:val="yellow"/>
              </w:rPr>
              <w:t>172790</w:t>
            </w:r>
          </w:p>
        </w:tc>
      </w:tr>
      <w:tr w:rsidR="00205F1A">
        <w:trPr>
          <w:trHeight w:val="538"/>
        </w:trPr>
        <w:tc>
          <w:tcPr>
            <w:tcW w:w="3321" w:type="dxa"/>
            <w:gridSpan w:val="2"/>
            <w:tcBorders>
              <w:top w:val="single" w:sz="6" w:space="0" w:color="FFFFFF"/>
              <w:bottom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4"/>
              <w:ind w:left="68"/>
              <w:rPr>
                <w:b/>
                <w:color w:val="000000"/>
                <w:sz w:val="17"/>
                <w:szCs w:val="17"/>
              </w:rPr>
            </w:pPr>
            <w:r>
              <w:rPr>
                <w:b/>
                <w:color w:val="000000"/>
                <w:sz w:val="17"/>
                <w:szCs w:val="17"/>
              </w:rPr>
              <w:t>Number of Openings</w:t>
            </w:r>
          </w:p>
        </w:tc>
        <w:tc>
          <w:tcPr>
            <w:tcW w:w="6583" w:type="dxa"/>
            <w:tcBorders>
              <w:top w:val="single" w:sz="6" w:space="0" w:color="FFFFFF"/>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153"/>
              <w:ind w:left="48"/>
              <w:rPr>
                <w:color w:val="000000"/>
                <w:sz w:val="19"/>
                <w:szCs w:val="19"/>
              </w:rPr>
            </w:pPr>
            <w:r>
              <w:rPr>
                <w:color w:val="000000"/>
                <w:sz w:val="19"/>
                <w:szCs w:val="19"/>
              </w:rPr>
              <w:t>2</w:t>
            </w:r>
          </w:p>
        </w:tc>
      </w:tr>
      <w:tr w:rsidR="00205F1A">
        <w:trPr>
          <w:trHeight w:val="539"/>
        </w:trPr>
        <w:tc>
          <w:tcPr>
            <w:tcW w:w="3321" w:type="dxa"/>
            <w:gridSpan w:val="2"/>
            <w:tcBorders>
              <w:top w:val="single" w:sz="6" w:space="0" w:color="FFFFFF"/>
              <w:bottom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6"/>
              <w:ind w:left="68"/>
              <w:rPr>
                <w:b/>
                <w:color w:val="000000"/>
                <w:sz w:val="17"/>
                <w:szCs w:val="17"/>
              </w:rPr>
            </w:pPr>
            <w:r>
              <w:rPr>
                <w:b/>
                <w:color w:val="000000"/>
                <w:sz w:val="17"/>
                <w:szCs w:val="17"/>
              </w:rPr>
              <w:t>Total Hours or % Appointment</w:t>
            </w:r>
          </w:p>
        </w:tc>
        <w:tc>
          <w:tcPr>
            <w:tcW w:w="6583" w:type="dxa"/>
            <w:tcBorders>
              <w:top w:val="single" w:sz="6" w:space="0" w:color="FFFFFF"/>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154"/>
              <w:rPr>
                <w:color w:val="000000"/>
                <w:sz w:val="19"/>
                <w:szCs w:val="19"/>
              </w:rPr>
            </w:pPr>
            <w:r>
              <w:rPr>
                <w:color w:val="000000"/>
                <w:sz w:val="19"/>
                <w:szCs w:val="19"/>
              </w:rPr>
              <w:t>75%</w:t>
            </w:r>
          </w:p>
        </w:tc>
      </w:tr>
      <w:tr w:rsidR="00205F1A">
        <w:trPr>
          <w:trHeight w:val="539"/>
        </w:trPr>
        <w:tc>
          <w:tcPr>
            <w:tcW w:w="3321" w:type="dxa"/>
            <w:gridSpan w:val="2"/>
            <w:tcBorders>
              <w:top w:val="single" w:sz="6" w:space="0" w:color="FFFFFF"/>
              <w:bottom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6"/>
              <w:ind w:left="68"/>
              <w:rPr>
                <w:b/>
                <w:color w:val="000000"/>
                <w:sz w:val="17"/>
                <w:szCs w:val="17"/>
              </w:rPr>
            </w:pPr>
            <w:r>
              <w:rPr>
                <w:b/>
                <w:color w:val="000000"/>
                <w:sz w:val="17"/>
                <w:szCs w:val="17"/>
              </w:rPr>
              <w:t>Hiring Authority / Contact</w:t>
            </w:r>
          </w:p>
        </w:tc>
        <w:tc>
          <w:tcPr>
            <w:tcW w:w="6583" w:type="dxa"/>
            <w:tcBorders>
              <w:top w:val="single" w:sz="6" w:space="0" w:color="FFFFFF"/>
              <w:left w:val="single" w:sz="6" w:space="0" w:color="FFFFFF"/>
              <w:bottom w:val="single" w:sz="6" w:space="0" w:color="FFFFFF"/>
            </w:tcBorders>
            <w:shd w:val="clear" w:color="auto" w:fill="EDEDED"/>
          </w:tcPr>
          <w:p w:rsidR="00205F1A" w:rsidRDefault="00205F1A">
            <w:pPr>
              <w:pBdr>
                <w:top w:val="nil"/>
                <w:left w:val="nil"/>
                <w:bottom w:val="nil"/>
                <w:right w:val="nil"/>
                <w:between w:val="nil"/>
              </w:pBdr>
              <w:tabs>
                <w:tab w:val="left" w:pos="1314"/>
              </w:tabs>
              <w:spacing w:before="153"/>
              <w:ind w:left="48"/>
              <w:rPr>
                <w:color w:val="000000"/>
                <w:sz w:val="19"/>
                <w:szCs w:val="19"/>
              </w:rPr>
            </w:pPr>
          </w:p>
        </w:tc>
      </w:tr>
      <w:tr w:rsidR="00205F1A">
        <w:trPr>
          <w:trHeight w:val="538"/>
        </w:trPr>
        <w:tc>
          <w:tcPr>
            <w:tcW w:w="3321" w:type="dxa"/>
            <w:gridSpan w:val="2"/>
            <w:tcBorders>
              <w:top w:val="single" w:sz="6" w:space="0" w:color="FFFFFF"/>
              <w:bottom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4"/>
              <w:ind w:left="68"/>
              <w:rPr>
                <w:b/>
                <w:color w:val="000000"/>
                <w:sz w:val="17"/>
                <w:szCs w:val="17"/>
              </w:rPr>
            </w:pPr>
            <w:r>
              <w:rPr>
                <w:b/>
                <w:color w:val="000000"/>
                <w:sz w:val="17"/>
                <w:szCs w:val="17"/>
              </w:rPr>
              <w:t>Supervisor of Position</w:t>
            </w:r>
          </w:p>
        </w:tc>
        <w:tc>
          <w:tcPr>
            <w:tcW w:w="6583" w:type="dxa"/>
            <w:tcBorders>
              <w:top w:val="single" w:sz="6" w:space="0" w:color="FFFFFF"/>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153"/>
              <w:ind w:left="48"/>
              <w:rPr>
                <w:color w:val="000000"/>
                <w:sz w:val="19"/>
                <w:szCs w:val="19"/>
              </w:rPr>
            </w:pPr>
            <w:r>
              <w:rPr>
                <w:color w:val="000000"/>
                <w:sz w:val="19"/>
                <w:szCs w:val="19"/>
              </w:rPr>
              <w:t>Residency Director</w:t>
            </w:r>
          </w:p>
        </w:tc>
      </w:tr>
      <w:tr w:rsidR="00205F1A">
        <w:trPr>
          <w:trHeight w:val="539"/>
        </w:trPr>
        <w:tc>
          <w:tcPr>
            <w:tcW w:w="3321" w:type="dxa"/>
            <w:gridSpan w:val="2"/>
            <w:tcBorders>
              <w:top w:val="single" w:sz="6" w:space="0" w:color="FFFFFF"/>
              <w:bottom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6"/>
              <w:ind w:left="68"/>
              <w:rPr>
                <w:b/>
                <w:color w:val="000000"/>
                <w:sz w:val="17"/>
                <w:szCs w:val="17"/>
              </w:rPr>
            </w:pPr>
            <w:r>
              <w:rPr>
                <w:b/>
                <w:color w:val="000000"/>
                <w:sz w:val="17"/>
                <w:szCs w:val="17"/>
              </w:rPr>
              <w:t>College or Admin Unit</w:t>
            </w:r>
          </w:p>
        </w:tc>
        <w:tc>
          <w:tcPr>
            <w:tcW w:w="6583" w:type="dxa"/>
            <w:tcBorders>
              <w:top w:val="single" w:sz="6" w:space="0" w:color="FFFFFF"/>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154"/>
              <w:ind w:left="48"/>
              <w:rPr>
                <w:color w:val="000000"/>
                <w:sz w:val="19"/>
                <w:szCs w:val="19"/>
              </w:rPr>
            </w:pPr>
            <w:r>
              <w:rPr>
                <w:color w:val="000000"/>
                <w:sz w:val="19"/>
                <w:szCs w:val="19"/>
              </w:rPr>
              <w:t>Veterinary Medicine</w:t>
            </w:r>
          </w:p>
        </w:tc>
      </w:tr>
      <w:tr w:rsidR="00205F1A">
        <w:trPr>
          <w:trHeight w:val="539"/>
        </w:trPr>
        <w:tc>
          <w:tcPr>
            <w:tcW w:w="3321" w:type="dxa"/>
            <w:gridSpan w:val="2"/>
            <w:tcBorders>
              <w:top w:val="single" w:sz="6" w:space="0" w:color="FFFFFF"/>
              <w:bottom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6"/>
              <w:ind w:left="68"/>
              <w:rPr>
                <w:b/>
                <w:color w:val="000000"/>
                <w:sz w:val="17"/>
                <w:szCs w:val="17"/>
              </w:rPr>
            </w:pPr>
            <w:r>
              <w:rPr>
                <w:b/>
                <w:color w:val="000000"/>
                <w:sz w:val="17"/>
                <w:szCs w:val="17"/>
              </w:rPr>
              <w:t>Campus Location</w:t>
            </w:r>
          </w:p>
        </w:tc>
        <w:tc>
          <w:tcPr>
            <w:tcW w:w="6583" w:type="dxa"/>
            <w:tcBorders>
              <w:top w:val="single" w:sz="6" w:space="0" w:color="FFFFFF"/>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153"/>
              <w:ind w:left="48"/>
              <w:rPr>
                <w:color w:val="000000"/>
                <w:sz w:val="19"/>
                <w:szCs w:val="19"/>
              </w:rPr>
            </w:pPr>
            <w:r>
              <w:rPr>
                <w:color w:val="000000"/>
                <w:sz w:val="19"/>
                <w:szCs w:val="19"/>
              </w:rPr>
              <w:t>Twin Cities</w:t>
            </w:r>
          </w:p>
        </w:tc>
      </w:tr>
      <w:tr w:rsidR="00205F1A">
        <w:trPr>
          <w:trHeight w:val="538"/>
        </w:trPr>
        <w:tc>
          <w:tcPr>
            <w:tcW w:w="3321" w:type="dxa"/>
            <w:gridSpan w:val="2"/>
            <w:tcBorders>
              <w:top w:val="single" w:sz="6" w:space="0" w:color="FFFFFF"/>
              <w:bottom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4"/>
              <w:ind w:left="68"/>
              <w:rPr>
                <w:b/>
                <w:color w:val="000000"/>
                <w:sz w:val="17"/>
                <w:szCs w:val="17"/>
              </w:rPr>
            </w:pPr>
            <w:r>
              <w:rPr>
                <w:b/>
                <w:color w:val="000000"/>
                <w:sz w:val="17"/>
                <w:szCs w:val="17"/>
              </w:rPr>
              <w:t>Job Open Date</w:t>
            </w:r>
          </w:p>
        </w:tc>
        <w:tc>
          <w:tcPr>
            <w:tcW w:w="6583" w:type="dxa"/>
            <w:tcBorders>
              <w:top w:val="single" w:sz="6" w:space="0" w:color="FFFFFF"/>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153"/>
              <w:ind w:left="48"/>
              <w:rPr>
                <w:color w:val="000000"/>
                <w:sz w:val="19"/>
                <w:szCs w:val="19"/>
              </w:rPr>
            </w:pPr>
            <w:r>
              <w:rPr>
                <w:color w:val="000000"/>
                <w:sz w:val="19"/>
                <w:szCs w:val="19"/>
              </w:rPr>
              <w:t>03-11-2022</w:t>
            </w:r>
          </w:p>
        </w:tc>
      </w:tr>
      <w:tr w:rsidR="00205F1A">
        <w:trPr>
          <w:trHeight w:val="539"/>
        </w:trPr>
        <w:tc>
          <w:tcPr>
            <w:tcW w:w="3321" w:type="dxa"/>
            <w:gridSpan w:val="2"/>
            <w:tcBorders>
              <w:top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6"/>
              <w:ind w:left="68"/>
              <w:rPr>
                <w:b/>
                <w:color w:val="000000"/>
                <w:sz w:val="17"/>
                <w:szCs w:val="17"/>
              </w:rPr>
            </w:pPr>
            <w:r>
              <w:rPr>
                <w:b/>
                <w:color w:val="000000"/>
                <w:sz w:val="17"/>
                <w:szCs w:val="17"/>
              </w:rPr>
              <w:t>Job Close Date</w:t>
            </w:r>
          </w:p>
        </w:tc>
        <w:tc>
          <w:tcPr>
            <w:tcW w:w="6583" w:type="dxa"/>
            <w:tcBorders>
              <w:top w:val="single" w:sz="6" w:space="0" w:color="FFFFFF"/>
              <w:left w:val="single" w:sz="6" w:space="0" w:color="FFFFFF"/>
            </w:tcBorders>
            <w:shd w:val="clear" w:color="auto" w:fill="EDEDED"/>
          </w:tcPr>
          <w:p w:rsidR="00205F1A" w:rsidRDefault="00205F1A">
            <w:pPr>
              <w:pBdr>
                <w:top w:val="nil"/>
                <w:left w:val="nil"/>
                <w:bottom w:val="nil"/>
                <w:right w:val="nil"/>
                <w:between w:val="nil"/>
              </w:pBdr>
              <w:spacing w:before="154"/>
              <w:ind w:left="48"/>
              <w:rPr>
                <w:color w:val="000000"/>
                <w:sz w:val="19"/>
                <w:szCs w:val="19"/>
              </w:rPr>
            </w:pPr>
          </w:p>
        </w:tc>
      </w:tr>
      <w:tr w:rsidR="00205F1A">
        <w:trPr>
          <w:trHeight w:val="4260"/>
        </w:trPr>
        <w:tc>
          <w:tcPr>
            <w:tcW w:w="2355" w:type="dxa"/>
            <w:tcBorders>
              <w:bottom w:val="single" w:sz="6" w:space="0" w:color="FFFFFF"/>
              <w:right w:val="single" w:sz="6" w:space="0" w:color="FFFFFF"/>
            </w:tcBorders>
            <w:shd w:val="clear" w:color="auto" w:fill="C8C8C8"/>
          </w:tcPr>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spacing w:before="9"/>
              <w:rPr>
                <w:rFonts w:ascii="Times New Roman" w:eastAsia="Times New Roman" w:hAnsi="Times New Roman" w:cs="Times New Roman"/>
                <w:color w:val="000000"/>
                <w:sz w:val="27"/>
                <w:szCs w:val="27"/>
              </w:rPr>
            </w:pPr>
          </w:p>
          <w:p w:rsidR="00205F1A" w:rsidRDefault="000D55A1">
            <w:pPr>
              <w:pBdr>
                <w:top w:val="nil"/>
                <w:left w:val="nil"/>
                <w:bottom w:val="nil"/>
                <w:right w:val="nil"/>
                <w:between w:val="nil"/>
              </w:pBdr>
              <w:ind w:left="68" w:right="369"/>
              <w:rPr>
                <w:b/>
                <w:color w:val="000000"/>
                <w:sz w:val="17"/>
                <w:szCs w:val="17"/>
              </w:rPr>
            </w:pPr>
            <w:r>
              <w:rPr>
                <w:b/>
                <w:color w:val="000000"/>
                <w:sz w:val="17"/>
                <w:szCs w:val="17"/>
              </w:rPr>
              <w:t>Required/Preferred Qualifications</w:t>
            </w:r>
          </w:p>
        </w:tc>
        <w:tc>
          <w:tcPr>
            <w:tcW w:w="7549" w:type="dxa"/>
            <w:gridSpan w:val="2"/>
            <w:tcBorders>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59"/>
              <w:ind w:left="49" w:right="161"/>
              <w:rPr>
                <w:color w:val="000000"/>
                <w:sz w:val="19"/>
                <w:szCs w:val="19"/>
              </w:rPr>
            </w:pPr>
            <w:r>
              <w:rPr>
                <w:color w:val="000000"/>
                <w:sz w:val="19"/>
                <w:szCs w:val="19"/>
              </w:rPr>
              <w:t>REQUIRED QUALIFICATIONS (must be documented on application/resume): The candidate must have a DVM degree (or equivalent foreign degree) by start date, plus at least one year of experience in either a private practice, corporate, or government setting in one of the following areas: wildlife or domestic animal preventive medicine; infectious disease diagnosis and treatment; food animal production, food safety, harvesting or processing; public health infectious disease surveillance and outbreak investigation.</w:t>
            </w:r>
          </w:p>
          <w:p w:rsidR="00205F1A" w:rsidRDefault="000D55A1">
            <w:pPr>
              <w:pBdr>
                <w:top w:val="nil"/>
                <w:left w:val="nil"/>
                <w:bottom w:val="nil"/>
                <w:right w:val="nil"/>
                <w:between w:val="nil"/>
              </w:pBdr>
              <w:ind w:left="49" w:right="522"/>
              <w:rPr>
                <w:color w:val="000000"/>
                <w:sz w:val="19"/>
                <w:szCs w:val="19"/>
              </w:rPr>
            </w:pPr>
            <w:r>
              <w:rPr>
                <w:color w:val="000000"/>
                <w:sz w:val="19"/>
                <w:szCs w:val="19"/>
              </w:rPr>
              <w:t xml:space="preserve">In addition candidates must possess a valid US driver’s license, or obtain license </w:t>
            </w:r>
            <w:r>
              <w:rPr>
                <w:sz w:val="19"/>
                <w:szCs w:val="19"/>
              </w:rPr>
              <w:t>within the first</w:t>
            </w:r>
            <w:r>
              <w:rPr>
                <w:color w:val="000000"/>
                <w:sz w:val="19"/>
                <w:szCs w:val="19"/>
              </w:rPr>
              <w:t xml:space="preserve"> six months of residency.</w:t>
            </w:r>
          </w:p>
          <w:p w:rsidR="00205F1A" w:rsidRDefault="00205F1A">
            <w:pPr>
              <w:pBdr>
                <w:top w:val="nil"/>
                <w:left w:val="nil"/>
                <w:bottom w:val="nil"/>
                <w:right w:val="nil"/>
                <w:between w:val="nil"/>
              </w:pBdr>
              <w:ind w:left="49" w:right="28"/>
              <w:rPr>
                <w:color w:val="000000"/>
                <w:sz w:val="19"/>
                <w:szCs w:val="19"/>
              </w:rPr>
            </w:pPr>
          </w:p>
          <w:p w:rsidR="00205F1A" w:rsidRDefault="000D55A1">
            <w:pPr>
              <w:pBdr>
                <w:top w:val="nil"/>
                <w:left w:val="nil"/>
                <w:bottom w:val="nil"/>
                <w:right w:val="nil"/>
                <w:between w:val="nil"/>
              </w:pBdr>
              <w:ind w:left="49" w:right="28"/>
              <w:rPr>
                <w:color w:val="000000"/>
                <w:sz w:val="19"/>
                <w:szCs w:val="19"/>
              </w:rPr>
            </w:pPr>
            <w:r>
              <w:rPr>
                <w:color w:val="000000"/>
                <w:sz w:val="19"/>
                <w:szCs w:val="19"/>
              </w:rPr>
              <w:t xml:space="preserve">If candidates do not already </w:t>
            </w:r>
            <w:r>
              <w:rPr>
                <w:sz w:val="19"/>
                <w:szCs w:val="19"/>
              </w:rPr>
              <w:t>have a graduate</w:t>
            </w:r>
            <w:r>
              <w:rPr>
                <w:color w:val="000000"/>
                <w:sz w:val="19"/>
                <w:szCs w:val="19"/>
              </w:rPr>
              <w:t xml:space="preserve"> degree in public health they must also have academic qualifications for admission to the School of Public Health at the University of Minnesota.</w:t>
            </w:r>
          </w:p>
          <w:p w:rsidR="00205F1A" w:rsidRDefault="00205F1A">
            <w:pPr>
              <w:pBdr>
                <w:top w:val="nil"/>
                <w:left w:val="nil"/>
                <w:bottom w:val="nil"/>
                <w:right w:val="nil"/>
                <w:between w:val="nil"/>
              </w:pBdr>
              <w:spacing w:before="1"/>
              <w:rPr>
                <w:rFonts w:ascii="Times New Roman" w:eastAsia="Times New Roman" w:hAnsi="Times New Roman" w:cs="Times New Roman"/>
                <w:color w:val="000000"/>
                <w:sz w:val="20"/>
                <w:szCs w:val="20"/>
              </w:rPr>
            </w:pPr>
          </w:p>
          <w:p w:rsidR="00205F1A" w:rsidRDefault="000D55A1">
            <w:pPr>
              <w:pBdr>
                <w:top w:val="nil"/>
                <w:left w:val="nil"/>
                <w:bottom w:val="nil"/>
                <w:right w:val="nil"/>
                <w:between w:val="nil"/>
              </w:pBdr>
              <w:spacing w:line="231" w:lineRule="auto"/>
              <w:ind w:left="49"/>
              <w:rPr>
                <w:color w:val="000000"/>
                <w:sz w:val="19"/>
                <w:szCs w:val="19"/>
              </w:rPr>
            </w:pPr>
            <w:r>
              <w:rPr>
                <w:color w:val="000000"/>
                <w:sz w:val="19"/>
                <w:szCs w:val="19"/>
              </w:rPr>
              <w:t>Preferred Qualifications:</w:t>
            </w:r>
          </w:p>
          <w:p w:rsidR="00205F1A" w:rsidRDefault="000D55A1">
            <w:pPr>
              <w:pBdr>
                <w:top w:val="nil"/>
                <w:left w:val="nil"/>
                <w:bottom w:val="nil"/>
                <w:right w:val="nil"/>
                <w:between w:val="nil"/>
              </w:pBdr>
              <w:ind w:left="49" w:right="231"/>
              <w:rPr>
                <w:color w:val="000000"/>
                <w:sz w:val="19"/>
                <w:szCs w:val="19"/>
              </w:rPr>
            </w:pPr>
            <w:r>
              <w:rPr>
                <w:color w:val="000000"/>
                <w:sz w:val="19"/>
                <w:szCs w:val="19"/>
              </w:rPr>
              <w:t>MPH degree completed prior to hire. Two or more years of relevant experience as described above in either a private practice, corporate, or government setting. Excellent oral/written communication, leadership and interpersonal skills. Demonstrated ability to work in teams, strong time management skills, and a high level of experience with a variety of computer software programs.</w:t>
            </w:r>
          </w:p>
        </w:tc>
      </w:tr>
      <w:tr w:rsidR="00205F1A">
        <w:trPr>
          <w:trHeight w:val="783"/>
        </w:trPr>
        <w:tc>
          <w:tcPr>
            <w:tcW w:w="2355" w:type="dxa"/>
            <w:tcBorders>
              <w:top w:val="single" w:sz="6" w:space="0" w:color="FFFFFF"/>
              <w:bottom w:val="nil"/>
              <w:right w:val="single" w:sz="6" w:space="0" w:color="FFFFFF"/>
            </w:tcBorders>
            <w:shd w:val="clear" w:color="auto" w:fill="C8C8C8"/>
          </w:tcPr>
          <w:p w:rsidR="00205F1A" w:rsidRDefault="00205F1A">
            <w:pPr>
              <w:pBdr>
                <w:top w:val="nil"/>
                <w:left w:val="nil"/>
                <w:bottom w:val="nil"/>
                <w:right w:val="nil"/>
                <w:between w:val="nil"/>
              </w:pBdr>
              <w:spacing w:before="10"/>
              <w:rPr>
                <w:rFonts w:ascii="Times New Roman" w:eastAsia="Times New Roman" w:hAnsi="Times New Roman" w:cs="Times New Roman"/>
                <w:color w:val="000000"/>
                <w:sz w:val="24"/>
                <w:szCs w:val="24"/>
              </w:rPr>
            </w:pPr>
          </w:p>
          <w:p w:rsidR="00205F1A" w:rsidRDefault="000D55A1">
            <w:pPr>
              <w:pBdr>
                <w:top w:val="nil"/>
                <w:left w:val="nil"/>
                <w:bottom w:val="nil"/>
                <w:right w:val="nil"/>
                <w:between w:val="nil"/>
              </w:pBdr>
              <w:ind w:left="68"/>
              <w:rPr>
                <w:b/>
                <w:color w:val="000000"/>
                <w:sz w:val="17"/>
                <w:szCs w:val="17"/>
              </w:rPr>
            </w:pPr>
            <w:r>
              <w:rPr>
                <w:b/>
                <w:color w:val="000000"/>
                <w:sz w:val="17"/>
                <w:szCs w:val="17"/>
              </w:rPr>
              <w:t>Duties/Responsibilities</w:t>
            </w:r>
          </w:p>
        </w:tc>
        <w:tc>
          <w:tcPr>
            <w:tcW w:w="7549" w:type="dxa"/>
            <w:gridSpan w:val="2"/>
            <w:tcBorders>
              <w:top w:val="single" w:sz="6" w:space="0" w:color="FFFFFF"/>
              <w:left w:val="single" w:sz="6" w:space="0" w:color="FFFFFF"/>
              <w:bottom w:val="nil"/>
            </w:tcBorders>
            <w:shd w:val="clear" w:color="auto" w:fill="EDEDED"/>
          </w:tcPr>
          <w:p w:rsidR="00205F1A" w:rsidRDefault="000D55A1">
            <w:pPr>
              <w:pBdr>
                <w:top w:val="nil"/>
                <w:left w:val="nil"/>
                <w:bottom w:val="nil"/>
                <w:right w:val="nil"/>
                <w:between w:val="nil"/>
              </w:pBdr>
              <w:spacing w:before="44"/>
              <w:ind w:left="49" w:right="350"/>
              <w:rPr>
                <w:color w:val="000000"/>
                <w:sz w:val="19"/>
                <w:szCs w:val="19"/>
              </w:rPr>
            </w:pPr>
            <w:r>
              <w:rPr>
                <w:color w:val="000000"/>
                <w:sz w:val="19"/>
                <w:szCs w:val="19"/>
              </w:rPr>
              <w:t>Responding to new and emerging issues and the delivery of public practice services in the areas of Animal Health and Food Safety. Collaborate with Veterinary Public Health (VPH) faculty in teaching</w:t>
            </w:r>
          </w:p>
        </w:tc>
      </w:tr>
    </w:tbl>
    <w:p w:rsidR="00205F1A" w:rsidRDefault="00205F1A">
      <w:pPr>
        <w:rPr>
          <w:sz w:val="19"/>
          <w:szCs w:val="19"/>
        </w:rPr>
        <w:sectPr w:rsidR="00205F1A">
          <w:pgSz w:w="12240" w:h="15840"/>
          <w:pgMar w:top="720" w:right="1060" w:bottom="280" w:left="1040" w:header="720" w:footer="720" w:gutter="0"/>
          <w:pgNumType w:start="1"/>
          <w:cols w:space="720"/>
        </w:sectPr>
      </w:pPr>
    </w:p>
    <w:p w:rsidR="00205F1A" w:rsidRDefault="00205F1A">
      <w:pPr>
        <w:pBdr>
          <w:top w:val="nil"/>
          <w:left w:val="nil"/>
          <w:bottom w:val="nil"/>
          <w:right w:val="nil"/>
          <w:between w:val="nil"/>
        </w:pBdr>
        <w:spacing w:before="4"/>
        <w:rPr>
          <w:rFonts w:ascii="Times New Roman" w:eastAsia="Times New Roman" w:hAnsi="Times New Roman" w:cs="Times New Roman"/>
          <w:color w:val="000000"/>
          <w:sz w:val="17"/>
          <w:szCs w:val="17"/>
        </w:rPr>
      </w:pPr>
    </w:p>
    <w:tbl>
      <w:tblPr>
        <w:tblStyle w:val="a0"/>
        <w:tblW w:w="9904"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5"/>
        <w:gridCol w:w="7549"/>
      </w:tblGrid>
      <w:tr w:rsidR="00205F1A">
        <w:trPr>
          <w:trHeight w:val="1937"/>
        </w:trPr>
        <w:tc>
          <w:tcPr>
            <w:tcW w:w="2355" w:type="dxa"/>
            <w:tcBorders>
              <w:top w:val="nil"/>
              <w:bottom w:val="single" w:sz="6" w:space="0" w:color="FFFFFF"/>
              <w:right w:val="single" w:sz="6" w:space="0" w:color="FFFFFF"/>
            </w:tcBorders>
            <w:shd w:val="clear" w:color="auto" w:fill="C8C8C8"/>
          </w:tcPr>
          <w:p w:rsidR="00205F1A" w:rsidRDefault="00205F1A">
            <w:pPr>
              <w:pBdr>
                <w:top w:val="nil"/>
                <w:left w:val="nil"/>
                <w:bottom w:val="nil"/>
                <w:right w:val="nil"/>
                <w:between w:val="nil"/>
              </w:pBdr>
              <w:rPr>
                <w:rFonts w:ascii="Times New Roman" w:eastAsia="Times New Roman" w:hAnsi="Times New Roman" w:cs="Times New Roman"/>
                <w:color w:val="000000"/>
                <w:sz w:val="18"/>
                <w:szCs w:val="18"/>
              </w:rPr>
            </w:pPr>
          </w:p>
        </w:tc>
        <w:tc>
          <w:tcPr>
            <w:tcW w:w="7549" w:type="dxa"/>
            <w:tcBorders>
              <w:top w:val="nil"/>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45"/>
              <w:ind w:left="49" w:right="616"/>
              <w:rPr>
                <w:color w:val="000000"/>
                <w:sz w:val="19"/>
                <w:szCs w:val="19"/>
              </w:rPr>
            </w:pPr>
            <w:r>
              <w:rPr>
                <w:color w:val="000000"/>
                <w:sz w:val="19"/>
                <w:szCs w:val="19"/>
              </w:rPr>
              <w:t>VPH curriculum. Participate in applied research activities in the areas of disease surveillance, risk analysis, public policy, health education and epidemiologic investigation of important food safety and zoonotic pathogens.</w:t>
            </w:r>
          </w:p>
          <w:p w:rsidR="00205F1A" w:rsidRDefault="00205F1A">
            <w:pPr>
              <w:pBdr>
                <w:top w:val="nil"/>
                <w:left w:val="nil"/>
                <w:bottom w:val="nil"/>
                <w:right w:val="nil"/>
                <w:between w:val="nil"/>
              </w:pBdr>
              <w:spacing w:before="1"/>
              <w:ind w:left="49" w:right="390"/>
              <w:rPr>
                <w:color w:val="000000"/>
                <w:sz w:val="19"/>
                <w:szCs w:val="19"/>
              </w:rPr>
            </w:pPr>
          </w:p>
          <w:p w:rsidR="00205F1A" w:rsidRDefault="000D55A1">
            <w:pPr>
              <w:pBdr>
                <w:top w:val="nil"/>
                <w:left w:val="nil"/>
                <w:bottom w:val="nil"/>
                <w:right w:val="nil"/>
                <w:between w:val="nil"/>
              </w:pBdr>
              <w:spacing w:before="1"/>
              <w:ind w:left="49" w:right="390"/>
              <w:rPr>
                <w:color w:val="000000"/>
                <w:sz w:val="19"/>
                <w:szCs w:val="19"/>
              </w:rPr>
            </w:pPr>
            <w:r>
              <w:rPr>
                <w:color w:val="000000"/>
                <w:sz w:val="19"/>
                <w:szCs w:val="19"/>
              </w:rPr>
              <w:t>Residents work on a variety of projects and through experiential activities gain a broad range of experiences in public health. Residents spend approximately 75% of time on projects, with 25% time reserved for MPH courses and training. Occasional travel for meetings and conferences is required.</w:t>
            </w:r>
          </w:p>
        </w:tc>
        <w:bookmarkStart w:id="1" w:name="_GoBack"/>
        <w:bookmarkEnd w:id="1"/>
      </w:tr>
      <w:tr w:rsidR="00205F1A">
        <w:trPr>
          <w:trHeight w:val="2398"/>
        </w:trPr>
        <w:tc>
          <w:tcPr>
            <w:tcW w:w="2355" w:type="dxa"/>
            <w:tcBorders>
              <w:top w:val="single" w:sz="6" w:space="0" w:color="FFFFFF"/>
              <w:bottom w:val="single" w:sz="6" w:space="0" w:color="FFFFFF"/>
              <w:right w:val="single" w:sz="6" w:space="0" w:color="FFFFFF"/>
            </w:tcBorders>
            <w:shd w:val="clear" w:color="auto" w:fill="C8C8C8"/>
          </w:tcPr>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spacing w:before="2"/>
              <w:rPr>
                <w:rFonts w:ascii="Times New Roman" w:eastAsia="Times New Roman" w:hAnsi="Times New Roman" w:cs="Times New Roman"/>
                <w:color w:val="000000"/>
                <w:sz w:val="26"/>
                <w:szCs w:val="26"/>
              </w:rPr>
            </w:pPr>
          </w:p>
          <w:p w:rsidR="00205F1A" w:rsidRDefault="000D55A1">
            <w:pPr>
              <w:pBdr>
                <w:top w:val="nil"/>
                <w:left w:val="nil"/>
                <w:bottom w:val="nil"/>
                <w:right w:val="nil"/>
                <w:between w:val="nil"/>
              </w:pBdr>
              <w:ind w:left="68" w:right="919"/>
              <w:rPr>
                <w:b/>
                <w:color w:val="000000"/>
                <w:sz w:val="17"/>
                <w:szCs w:val="17"/>
              </w:rPr>
            </w:pPr>
            <w:r>
              <w:rPr>
                <w:b/>
                <w:color w:val="000000"/>
                <w:sz w:val="17"/>
                <w:szCs w:val="17"/>
              </w:rPr>
              <w:t>Program/Unit Description</w:t>
            </w:r>
          </w:p>
        </w:tc>
        <w:tc>
          <w:tcPr>
            <w:tcW w:w="7549" w:type="dxa"/>
            <w:tcBorders>
              <w:top w:val="single" w:sz="6" w:space="0" w:color="FFFFFF"/>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44"/>
              <w:ind w:left="49" w:right="59"/>
              <w:rPr>
                <w:color w:val="000000"/>
                <w:sz w:val="19"/>
                <w:szCs w:val="19"/>
              </w:rPr>
            </w:pPr>
            <w:r>
              <w:rPr>
                <w:color w:val="000000"/>
                <w:sz w:val="19"/>
                <w:szCs w:val="19"/>
              </w:rPr>
              <w:t>The University of Minnesota, Center for Animal Health and Food Safety has two openings for an annually renewable, non-tenure track appointment at the rank of Veterinary Public Health Resident. Program duration is approximately two years. The position offers the opportunity for post-DVM training in veterinary public health and preventive medicine, including completion of an Executive MPH program. In addition, individuals will gain credentials that meet the requirements for the American College of Veterinary Preventive Medicine Board certification.</w:t>
            </w:r>
          </w:p>
          <w:p w:rsidR="00205F1A" w:rsidRDefault="00205F1A">
            <w:pPr>
              <w:pBdr>
                <w:top w:val="nil"/>
                <w:left w:val="nil"/>
                <w:bottom w:val="nil"/>
                <w:right w:val="nil"/>
                <w:between w:val="nil"/>
              </w:pBdr>
              <w:spacing w:before="1"/>
              <w:rPr>
                <w:rFonts w:ascii="Times New Roman" w:eastAsia="Times New Roman" w:hAnsi="Times New Roman" w:cs="Times New Roman"/>
                <w:color w:val="000000"/>
                <w:sz w:val="20"/>
                <w:szCs w:val="20"/>
              </w:rPr>
            </w:pPr>
          </w:p>
          <w:p w:rsidR="00205F1A" w:rsidRDefault="000D55A1">
            <w:pPr>
              <w:pBdr>
                <w:top w:val="nil"/>
                <w:left w:val="nil"/>
                <w:bottom w:val="nil"/>
                <w:right w:val="nil"/>
                <w:between w:val="nil"/>
              </w:pBdr>
              <w:ind w:left="49"/>
              <w:rPr>
                <w:color w:val="000000"/>
                <w:sz w:val="19"/>
                <w:szCs w:val="19"/>
              </w:rPr>
            </w:pPr>
            <w:r>
              <w:rPr>
                <w:color w:val="000000"/>
                <w:sz w:val="19"/>
                <w:szCs w:val="19"/>
              </w:rPr>
              <w:t>Tuition and healthcare benefits are provided.</w:t>
            </w:r>
          </w:p>
        </w:tc>
      </w:tr>
      <w:tr w:rsidR="00205F1A">
        <w:trPr>
          <w:trHeight w:val="6554"/>
        </w:trPr>
        <w:tc>
          <w:tcPr>
            <w:tcW w:w="2355" w:type="dxa"/>
            <w:tcBorders>
              <w:top w:val="single" w:sz="6" w:space="0" w:color="FFFFFF"/>
              <w:bottom w:val="single" w:sz="6" w:space="0" w:color="FFFFFF"/>
              <w:right w:val="single" w:sz="6" w:space="0" w:color="FFFFFF"/>
            </w:tcBorders>
            <w:shd w:val="clear" w:color="auto" w:fill="C8C8C8"/>
          </w:tcPr>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205F1A">
            <w:pPr>
              <w:pBdr>
                <w:top w:val="nil"/>
                <w:left w:val="nil"/>
                <w:bottom w:val="nil"/>
                <w:right w:val="nil"/>
                <w:between w:val="nil"/>
              </w:pBdr>
              <w:spacing w:before="11"/>
              <w:rPr>
                <w:rFonts w:ascii="Times New Roman" w:eastAsia="Times New Roman" w:hAnsi="Times New Roman" w:cs="Times New Roman"/>
                <w:color w:val="000000"/>
                <w:sz w:val="26"/>
                <w:szCs w:val="26"/>
              </w:rPr>
            </w:pPr>
          </w:p>
          <w:p w:rsidR="00205F1A" w:rsidRDefault="000D55A1">
            <w:pPr>
              <w:pBdr>
                <w:top w:val="nil"/>
                <w:left w:val="nil"/>
                <w:bottom w:val="nil"/>
                <w:right w:val="nil"/>
                <w:between w:val="nil"/>
              </w:pBdr>
              <w:ind w:left="68" w:right="1082"/>
              <w:rPr>
                <w:b/>
                <w:color w:val="000000"/>
                <w:sz w:val="17"/>
                <w:szCs w:val="17"/>
              </w:rPr>
            </w:pPr>
            <w:r>
              <w:rPr>
                <w:b/>
                <w:color w:val="000000"/>
                <w:sz w:val="17"/>
                <w:szCs w:val="17"/>
              </w:rPr>
              <w:t>Application Instructions</w:t>
            </w:r>
          </w:p>
        </w:tc>
        <w:tc>
          <w:tcPr>
            <w:tcW w:w="7549" w:type="dxa"/>
            <w:tcBorders>
              <w:top w:val="single" w:sz="6" w:space="0" w:color="FFFFFF"/>
              <w:left w:val="single" w:sz="6" w:space="0" w:color="FFFFFF"/>
              <w:bottom w:val="single" w:sz="6" w:space="0" w:color="FFFFFF"/>
            </w:tcBorders>
            <w:shd w:val="clear" w:color="auto" w:fill="EDEDED"/>
          </w:tcPr>
          <w:p w:rsidR="00205F1A" w:rsidRDefault="000D55A1">
            <w:pPr>
              <w:pBdr>
                <w:top w:val="nil"/>
                <w:left w:val="nil"/>
                <w:bottom w:val="nil"/>
                <w:right w:val="nil"/>
                <w:between w:val="nil"/>
              </w:pBdr>
              <w:spacing w:before="44"/>
              <w:ind w:left="49"/>
              <w:rPr>
                <w:color w:val="000000"/>
                <w:sz w:val="19"/>
                <w:szCs w:val="19"/>
              </w:rPr>
            </w:pPr>
            <w:r>
              <w:rPr>
                <w:color w:val="000000"/>
                <w:sz w:val="19"/>
                <w:szCs w:val="19"/>
              </w:rPr>
              <w:t>Please apply through the University of Minnesota Human Resources system.</w:t>
            </w: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0D55A1">
            <w:pPr>
              <w:pBdr>
                <w:top w:val="nil"/>
                <w:left w:val="nil"/>
                <w:bottom w:val="nil"/>
                <w:right w:val="nil"/>
                <w:between w:val="nil"/>
              </w:pBdr>
              <w:spacing w:before="1"/>
              <w:ind w:left="49"/>
              <w:rPr>
                <w:color w:val="000000"/>
                <w:sz w:val="19"/>
                <w:szCs w:val="19"/>
              </w:rPr>
            </w:pPr>
            <w:r>
              <w:rPr>
                <w:color w:val="000000"/>
                <w:sz w:val="19"/>
                <w:szCs w:val="19"/>
              </w:rPr>
              <w:t>Include a curriculum vitae and letter of application.</w:t>
            </w:r>
          </w:p>
          <w:p w:rsidR="00205F1A" w:rsidRDefault="000D55A1">
            <w:pPr>
              <w:pBdr>
                <w:top w:val="nil"/>
                <w:left w:val="nil"/>
                <w:bottom w:val="nil"/>
                <w:right w:val="nil"/>
                <w:between w:val="nil"/>
              </w:pBdr>
              <w:ind w:left="49" w:right="185"/>
              <w:rPr>
                <w:color w:val="000000"/>
                <w:sz w:val="19"/>
                <w:szCs w:val="19"/>
              </w:rPr>
            </w:pPr>
            <w:r>
              <w:rPr>
                <w:color w:val="000000"/>
                <w:sz w:val="19"/>
                <w:szCs w:val="19"/>
              </w:rPr>
              <w:t>In addition, applicants should request letters of reference from 3 individuals knowledgeable of their activities.</w:t>
            </w:r>
          </w:p>
          <w:p w:rsidR="00205F1A" w:rsidRDefault="00205F1A">
            <w:pPr>
              <w:pBdr>
                <w:top w:val="nil"/>
                <w:left w:val="nil"/>
                <w:bottom w:val="nil"/>
                <w:right w:val="nil"/>
                <w:between w:val="nil"/>
              </w:pBdr>
              <w:spacing w:before="1"/>
              <w:ind w:left="49" w:right="153"/>
              <w:rPr>
                <w:color w:val="000000"/>
                <w:sz w:val="19"/>
                <w:szCs w:val="19"/>
              </w:rPr>
            </w:pPr>
          </w:p>
          <w:p w:rsidR="00205F1A" w:rsidRDefault="000D55A1">
            <w:pPr>
              <w:pBdr>
                <w:top w:val="nil"/>
                <w:left w:val="nil"/>
                <w:bottom w:val="nil"/>
                <w:right w:val="nil"/>
                <w:between w:val="nil"/>
              </w:pBdr>
              <w:spacing w:before="1"/>
              <w:ind w:left="49" w:right="153"/>
              <w:rPr>
                <w:color w:val="000000"/>
                <w:sz w:val="19"/>
                <w:szCs w:val="19"/>
              </w:rPr>
            </w:pPr>
            <w:r>
              <w:rPr>
                <w:color w:val="000000"/>
                <w:sz w:val="19"/>
                <w:szCs w:val="19"/>
              </w:rPr>
              <w:t xml:space="preserve">Letters of reference should be submitted following this </w:t>
            </w:r>
            <w:hyperlink r:id="rId9">
              <w:r>
                <w:rPr>
                  <w:b/>
                  <w:color w:val="0000FF"/>
                  <w:sz w:val="19"/>
                  <w:szCs w:val="19"/>
                  <w:u w:val="single"/>
                </w:rPr>
                <w:t>LINK</w:t>
              </w:r>
            </w:hyperlink>
          </w:p>
          <w:p w:rsidR="00205F1A" w:rsidRDefault="00205F1A">
            <w:pPr>
              <w:pBdr>
                <w:top w:val="nil"/>
                <w:left w:val="nil"/>
                <w:bottom w:val="nil"/>
                <w:right w:val="nil"/>
                <w:between w:val="nil"/>
              </w:pBdr>
              <w:spacing w:before="1"/>
              <w:ind w:left="49" w:right="153"/>
              <w:rPr>
                <w:color w:val="000000"/>
                <w:sz w:val="19"/>
                <w:szCs w:val="19"/>
              </w:rPr>
            </w:pPr>
          </w:p>
          <w:p w:rsidR="00205F1A" w:rsidRDefault="000D55A1">
            <w:pPr>
              <w:pBdr>
                <w:top w:val="nil"/>
                <w:left w:val="nil"/>
                <w:bottom w:val="nil"/>
                <w:right w:val="nil"/>
                <w:between w:val="nil"/>
              </w:pBdr>
              <w:spacing w:before="1"/>
              <w:ind w:left="49" w:right="153"/>
              <w:rPr>
                <w:color w:val="000000"/>
                <w:sz w:val="19"/>
                <w:szCs w:val="19"/>
              </w:rPr>
            </w:pPr>
            <w:r>
              <w:rPr>
                <w:color w:val="000000"/>
                <w:sz w:val="19"/>
                <w:szCs w:val="19"/>
              </w:rPr>
              <w:t xml:space="preserve">Or sent to: </w:t>
            </w:r>
            <w:hyperlink r:id="rId10">
              <w:r>
                <w:rPr>
                  <w:color w:val="0000FF"/>
                  <w:sz w:val="19"/>
                  <w:szCs w:val="19"/>
                  <w:u w:val="single"/>
                </w:rPr>
                <w:t>vphpm@umn.edu</w:t>
              </w:r>
            </w:hyperlink>
            <w:r>
              <w:rPr>
                <w:color w:val="000000"/>
                <w:sz w:val="19"/>
                <w:szCs w:val="19"/>
              </w:rPr>
              <w:t xml:space="preserve"> (Please, include the name of the applicant and the “Letter of reference” text in the subject of the email) </w:t>
            </w:r>
          </w:p>
          <w:p w:rsidR="00205F1A" w:rsidRDefault="00205F1A">
            <w:pPr>
              <w:pBdr>
                <w:top w:val="nil"/>
                <w:left w:val="nil"/>
                <w:bottom w:val="nil"/>
                <w:right w:val="nil"/>
                <w:between w:val="nil"/>
              </w:pBdr>
              <w:ind w:left="49" w:right="3475"/>
              <w:rPr>
                <w:color w:val="000000"/>
                <w:sz w:val="19"/>
                <w:szCs w:val="19"/>
              </w:rPr>
            </w:pPr>
          </w:p>
          <w:p w:rsidR="00205F1A" w:rsidRDefault="000D55A1">
            <w:pPr>
              <w:pBdr>
                <w:top w:val="nil"/>
                <w:left w:val="nil"/>
                <w:bottom w:val="nil"/>
                <w:right w:val="nil"/>
                <w:between w:val="nil"/>
              </w:pBdr>
              <w:ind w:left="49" w:right="3475"/>
              <w:rPr>
                <w:color w:val="000000"/>
                <w:sz w:val="19"/>
                <w:szCs w:val="19"/>
              </w:rPr>
            </w:pPr>
            <w:r>
              <w:rPr>
                <w:color w:val="000000"/>
                <w:sz w:val="19"/>
                <w:szCs w:val="19"/>
              </w:rPr>
              <w:t xml:space="preserve">Center for Animal Health and Food Safety </w:t>
            </w:r>
          </w:p>
          <w:p w:rsidR="00205F1A" w:rsidRDefault="000D55A1">
            <w:pPr>
              <w:pBdr>
                <w:top w:val="nil"/>
                <w:left w:val="nil"/>
                <w:bottom w:val="nil"/>
                <w:right w:val="nil"/>
                <w:between w:val="nil"/>
              </w:pBdr>
              <w:ind w:left="49" w:right="3475"/>
              <w:rPr>
                <w:color w:val="000000"/>
                <w:sz w:val="19"/>
                <w:szCs w:val="19"/>
              </w:rPr>
            </w:pPr>
            <w:r>
              <w:rPr>
                <w:color w:val="000000"/>
                <w:sz w:val="19"/>
                <w:szCs w:val="19"/>
              </w:rPr>
              <w:t xml:space="preserve">1354 </w:t>
            </w:r>
            <w:proofErr w:type="spellStart"/>
            <w:r>
              <w:rPr>
                <w:color w:val="000000"/>
                <w:sz w:val="19"/>
                <w:szCs w:val="19"/>
              </w:rPr>
              <w:t>Eckles</w:t>
            </w:r>
            <w:proofErr w:type="spellEnd"/>
            <w:r>
              <w:rPr>
                <w:color w:val="000000"/>
                <w:sz w:val="19"/>
                <w:szCs w:val="19"/>
              </w:rPr>
              <w:t xml:space="preserve"> Avenue</w:t>
            </w:r>
          </w:p>
          <w:p w:rsidR="00205F1A" w:rsidRDefault="000D55A1">
            <w:pPr>
              <w:pBdr>
                <w:top w:val="nil"/>
                <w:left w:val="nil"/>
                <w:bottom w:val="nil"/>
                <w:right w:val="nil"/>
                <w:between w:val="nil"/>
              </w:pBdr>
              <w:ind w:left="49" w:right="5545"/>
              <w:rPr>
                <w:color w:val="000000"/>
                <w:sz w:val="19"/>
                <w:szCs w:val="19"/>
              </w:rPr>
            </w:pPr>
            <w:r>
              <w:rPr>
                <w:color w:val="000000"/>
                <w:sz w:val="19"/>
                <w:szCs w:val="19"/>
              </w:rPr>
              <w:t>St. Paul, MN 55108</w:t>
            </w:r>
          </w:p>
          <w:p w:rsidR="00205F1A" w:rsidRDefault="00205F1A">
            <w:pPr>
              <w:pBdr>
                <w:top w:val="nil"/>
                <w:left w:val="nil"/>
                <w:bottom w:val="nil"/>
                <w:right w:val="nil"/>
                <w:between w:val="nil"/>
              </w:pBdr>
              <w:ind w:left="49" w:right="5545"/>
              <w:rPr>
                <w:color w:val="000000"/>
                <w:sz w:val="19"/>
                <w:szCs w:val="19"/>
              </w:rPr>
            </w:pPr>
          </w:p>
          <w:p w:rsidR="00205F1A" w:rsidRDefault="005773D2">
            <w:pPr>
              <w:pBdr>
                <w:top w:val="nil"/>
                <w:left w:val="nil"/>
                <w:bottom w:val="nil"/>
                <w:right w:val="nil"/>
                <w:between w:val="nil"/>
              </w:pBdr>
              <w:ind w:left="49"/>
              <w:rPr>
                <w:color w:val="000000"/>
                <w:sz w:val="19"/>
                <w:szCs w:val="19"/>
              </w:rPr>
            </w:pPr>
            <w:hyperlink r:id="rId11">
              <w:r w:rsidR="000D55A1">
                <w:rPr>
                  <w:color w:val="0000FF"/>
                  <w:sz w:val="19"/>
                  <w:szCs w:val="19"/>
                  <w:u w:val="single"/>
                </w:rPr>
                <w:t>vphpm@umn.edu</w:t>
              </w:r>
            </w:hyperlink>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0D55A1">
            <w:pPr>
              <w:pBdr>
                <w:top w:val="nil"/>
                <w:left w:val="nil"/>
                <w:bottom w:val="nil"/>
                <w:right w:val="nil"/>
                <w:between w:val="nil"/>
              </w:pBdr>
              <w:ind w:left="49" w:right="419"/>
              <w:rPr>
                <w:color w:val="000000"/>
                <w:sz w:val="19"/>
                <w:szCs w:val="19"/>
              </w:rPr>
            </w:pPr>
            <w:r>
              <w:rPr>
                <w:color w:val="000000"/>
                <w:sz w:val="19"/>
                <w:szCs w:val="19"/>
              </w:rPr>
              <w:t xml:space="preserve">The Center for Animal Health and Food Safety will be hiring two residents with a start date of July </w:t>
            </w:r>
            <w:r>
              <w:rPr>
                <w:sz w:val="19"/>
                <w:szCs w:val="19"/>
              </w:rPr>
              <w:t>11</w:t>
            </w:r>
            <w:r>
              <w:rPr>
                <w:color w:val="000000"/>
                <w:sz w:val="19"/>
                <w:szCs w:val="19"/>
                <w:vertAlign w:val="superscript"/>
              </w:rPr>
              <w:t>th</w:t>
            </w:r>
            <w:r>
              <w:rPr>
                <w:color w:val="000000"/>
                <w:sz w:val="19"/>
                <w:szCs w:val="19"/>
              </w:rPr>
              <w:t xml:space="preserve"> 202</w:t>
            </w:r>
            <w:r>
              <w:rPr>
                <w:sz w:val="19"/>
                <w:szCs w:val="19"/>
              </w:rPr>
              <w:t>2</w:t>
            </w:r>
            <w:r>
              <w:rPr>
                <w:color w:val="000000"/>
                <w:sz w:val="19"/>
                <w:szCs w:val="19"/>
              </w:rPr>
              <w:t>.</w:t>
            </w:r>
          </w:p>
          <w:p w:rsidR="00205F1A" w:rsidRDefault="00205F1A">
            <w:pPr>
              <w:pBdr>
                <w:top w:val="nil"/>
                <w:left w:val="nil"/>
                <w:bottom w:val="nil"/>
                <w:right w:val="nil"/>
                <w:between w:val="nil"/>
              </w:pBdr>
              <w:rPr>
                <w:rFonts w:ascii="Times New Roman" w:eastAsia="Times New Roman" w:hAnsi="Times New Roman" w:cs="Times New Roman"/>
                <w:color w:val="000000"/>
                <w:sz w:val="20"/>
                <w:szCs w:val="20"/>
              </w:rPr>
            </w:pPr>
          </w:p>
          <w:p w:rsidR="00205F1A" w:rsidRDefault="000D55A1">
            <w:pPr>
              <w:pBdr>
                <w:top w:val="nil"/>
                <w:left w:val="nil"/>
                <w:bottom w:val="nil"/>
                <w:right w:val="nil"/>
                <w:between w:val="nil"/>
              </w:pBdr>
              <w:spacing w:before="1"/>
              <w:ind w:left="49" w:right="1064"/>
              <w:rPr>
                <w:color w:val="000000"/>
                <w:sz w:val="19"/>
                <w:szCs w:val="19"/>
              </w:rPr>
            </w:pPr>
            <w:bookmarkStart w:id="2" w:name="_heading=h.gjdgxs" w:colFirst="0" w:colLast="0"/>
            <w:bookmarkEnd w:id="2"/>
            <w:r>
              <w:rPr>
                <w:color w:val="000000"/>
                <w:sz w:val="19"/>
                <w:szCs w:val="19"/>
              </w:rPr>
              <w:t xml:space="preserve">Completed applications (CV, Letter of intent and all three letters of recommendation) must be received by </w:t>
            </w:r>
            <w:r>
              <w:rPr>
                <w:sz w:val="19"/>
                <w:szCs w:val="19"/>
              </w:rPr>
              <w:t>April 22</w:t>
            </w:r>
            <w:r>
              <w:rPr>
                <w:sz w:val="19"/>
                <w:szCs w:val="19"/>
                <w:vertAlign w:val="superscript"/>
              </w:rPr>
              <w:t>nd</w:t>
            </w:r>
            <w:r>
              <w:rPr>
                <w:color w:val="000000"/>
                <w:sz w:val="19"/>
                <w:szCs w:val="19"/>
              </w:rPr>
              <w:t>, 2022</w:t>
            </w:r>
          </w:p>
          <w:p w:rsidR="00205F1A" w:rsidRDefault="00205F1A">
            <w:pPr>
              <w:pBdr>
                <w:top w:val="nil"/>
                <w:left w:val="nil"/>
                <w:bottom w:val="nil"/>
                <w:right w:val="nil"/>
                <w:between w:val="nil"/>
              </w:pBdr>
              <w:rPr>
                <w:rFonts w:ascii="Times New Roman" w:eastAsia="Times New Roman" w:hAnsi="Times New Roman" w:cs="Times New Roman"/>
                <w:color w:val="000000"/>
              </w:rPr>
            </w:pPr>
          </w:p>
          <w:p w:rsidR="00205F1A" w:rsidRDefault="00205F1A">
            <w:pPr>
              <w:pBdr>
                <w:top w:val="nil"/>
                <w:left w:val="nil"/>
                <w:bottom w:val="nil"/>
                <w:right w:val="nil"/>
                <w:between w:val="nil"/>
              </w:pBdr>
              <w:spacing w:before="2"/>
              <w:rPr>
                <w:rFonts w:ascii="Times New Roman" w:eastAsia="Times New Roman" w:hAnsi="Times New Roman" w:cs="Times New Roman"/>
                <w:color w:val="000000"/>
                <w:sz w:val="18"/>
                <w:szCs w:val="18"/>
              </w:rPr>
            </w:pPr>
          </w:p>
          <w:p w:rsidR="00205F1A" w:rsidRDefault="000D55A1">
            <w:pPr>
              <w:pBdr>
                <w:top w:val="nil"/>
                <w:left w:val="nil"/>
                <w:bottom w:val="nil"/>
                <w:right w:val="nil"/>
                <w:between w:val="nil"/>
              </w:pBdr>
              <w:ind w:left="49" w:right="332"/>
              <w:rPr>
                <w:color w:val="000000"/>
                <w:sz w:val="19"/>
                <w:szCs w:val="19"/>
              </w:rPr>
            </w:pPr>
            <w:r>
              <w:rPr>
                <w:color w:val="000000"/>
                <w:sz w:val="19"/>
                <w:szCs w:val="19"/>
              </w:rPr>
              <w:t>*Acceptance in the Veterinary Public Health Residency does not guarantee admission into the School of Public Health Executive Masters in Public Practice Program, a separate application is required for this program.</w:t>
            </w:r>
          </w:p>
          <w:p w:rsidR="00205F1A" w:rsidRDefault="000D55A1">
            <w:pPr>
              <w:pBdr>
                <w:top w:val="nil"/>
                <w:left w:val="nil"/>
                <w:bottom w:val="nil"/>
                <w:right w:val="nil"/>
                <w:between w:val="nil"/>
              </w:pBdr>
              <w:ind w:left="49" w:right="515"/>
              <w:rPr>
                <w:color w:val="000000"/>
                <w:sz w:val="19"/>
                <w:szCs w:val="19"/>
              </w:rPr>
            </w:pPr>
            <w:r>
              <w:rPr>
                <w:color w:val="000000"/>
                <w:sz w:val="19"/>
                <w:szCs w:val="19"/>
              </w:rPr>
              <w:t xml:space="preserve">Candidates need not apply for the MPH while applying for the Residency, however, all offers are contingent on the </w:t>
            </w:r>
            <w:proofErr w:type="gramStart"/>
            <w:r>
              <w:rPr>
                <w:color w:val="000000"/>
                <w:sz w:val="19"/>
                <w:szCs w:val="19"/>
              </w:rPr>
              <w:t>candidates</w:t>
            </w:r>
            <w:proofErr w:type="gramEnd"/>
            <w:r>
              <w:rPr>
                <w:color w:val="000000"/>
                <w:sz w:val="19"/>
                <w:szCs w:val="19"/>
              </w:rPr>
              <w:t xml:space="preserve"> acceptance into the Masters of Public Health program.</w:t>
            </w:r>
          </w:p>
          <w:p w:rsidR="00205F1A" w:rsidRDefault="000D55A1">
            <w:pPr>
              <w:pBdr>
                <w:top w:val="nil"/>
                <w:left w:val="nil"/>
                <w:bottom w:val="nil"/>
                <w:right w:val="nil"/>
                <w:between w:val="nil"/>
              </w:pBdr>
              <w:ind w:left="49" w:right="2166"/>
              <w:rPr>
                <w:color w:val="000000"/>
                <w:sz w:val="19"/>
                <w:szCs w:val="19"/>
              </w:rPr>
            </w:pPr>
            <w:r>
              <w:rPr>
                <w:color w:val="000000"/>
                <w:sz w:val="19"/>
                <w:szCs w:val="19"/>
              </w:rPr>
              <w:t xml:space="preserve">For more information on MPH: </w:t>
            </w:r>
            <w:hyperlink r:id="rId12">
              <w:r>
                <w:rPr>
                  <w:color w:val="0000FF"/>
                  <w:sz w:val="19"/>
                  <w:szCs w:val="19"/>
                  <w:u w:val="single"/>
                </w:rPr>
                <w:t>https://www.sph.umn.edu/academics/degrees-programs/distance/</w:t>
              </w:r>
            </w:hyperlink>
          </w:p>
        </w:tc>
      </w:tr>
      <w:tr w:rsidR="00205F1A">
        <w:trPr>
          <w:trHeight w:val="539"/>
        </w:trPr>
        <w:tc>
          <w:tcPr>
            <w:tcW w:w="2355" w:type="dxa"/>
            <w:tcBorders>
              <w:top w:val="single" w:sz="6" w:space="0" w:color="FFFFFF"/>
              <w:right w:val="single" w:sz="6" w:space="0" w:color="FFFFFF"/>
            </w:tcBorders>
            <w:shd w:val="clear" w:color="auto" w:fill="C8C8C8"/>
          </w:tcPr>
          <w:p w:rsidR="00205F1A" w:rsidRDefault="000D55A1">
            <w:pPr>
              <w:pBdr>
                <w:top w:val="nil"/>
                <w:left w:val="nil"/>
                <w:bottom w:val="nil"/>
                <w:right w:val="nil"/>
                <w:between w:val="nil"/>
              </w:pBdr>
              <w:spacing w:before="164"/>
              <w:ind w:left="68"/>
              <w:rPr>
                <w:b/>
                <w:color w:val="000000"/>
                <w:sz w:val="17"/>
                <w:szCs w:val="17"/>
              </w:rPr>
            </w:pPr>
            <w:proofErr w:type="spellStart"/>
            <w:r>
              <w:rPr>
                <w:b/>
                <w:color w:val="000000"/>
                <w:sz w:val="17"/>
                <w:szCs w:val="17"/>
              </w:rPr>
              <w:t>QuickLink</w:t>
            </w:r>
            <w:proofErr w:type="spellEnd"/>
          </w:p>
        </w:tc>
        <w:tc>
          <w:tcPr>
            <w:tcW w:w="7549" w:type="dxa"/>
            <w:tcBorders>
              <w:top w:val="single" w:sz="6" w:space="0" w:color="FFFFFF"/>
              <w:left w:val="single" w:sz="6" w:space="0" w:color="FFFFFF"/>
            </w:tcBorders>
            <w:shd w:val="clear" w:color="auto" w:fill="EDEDED"/>
          </w:tcPr>
          <w:p w:rsidR="00205F1A" w:rsidRDefault="000D55A1">
            <w:pPr>
              <w:pBdr>
                <w:top w:val="nil"/>
                <w:left w:val="nil"/>
                <w:bottom w:val="nil"/>
                <w:right w:val="nil"/>
                <w:between w:val="nil"/>
              </w:pBdr>
              <w:spacing w:before="153"/>
              <w:ind w:left="49"/>
              <w:rPr>
                <w:color w:val="000000"/>
                <w:sz w:val="19"/>
                <w:szCs w:val="19"/>
              </w:rPr>
            </w:pPr>
            <w:r>
              <w:rPr>
                <w:color w:val="000000"/>
                <w:sz w:val="19"/>
                <w:szCs w:val="19"/>
              </w:rPr>
              <w:t>e</w:t>
            </w:r>
            <w:r>
              <w:rPr>
                <w:i/>
                <w:color w:val="000000"/>
                <w:sz w:val="19"/>
                <w:szCs w:val="19"/>
              </w:rPr>
              <w:t>mployment.umn.edu/applicants/</w:t>
            </w:r>
            <w:proofErr w:type="spellStart"/>
            <w:r>
              <w:rPr>
                <w:i/>
                <w:color w:val="000000"/>
                <w:sz w:val="19"/>
                <w:szCs w:val="19"/>
              </w:rPr>
              <w:t>Central?quickFind</w:t>
            </w:r>
            <w:proofErr w:type="spellEnd"/>
            <w:r>
              <w:rPr>
                <w:i/>
                <w:color w:val="000000"/>
                <w:sz w:val="19"/>
                <w:szCs w:val="19"/>
              </w:rPr>
              <w:t>=95652</w:t>
            </w:r>
          </w:p>
        </w:tc>
      </w:tr>
      <w:tr w:rsidR="00205F1A">
        <w:trPr>
          <w:trHeight w:val="9514"/>
        </w:trPr>
        <w:tc>
          <w:tcPr>
            <w:tcW w:w="2355" w:type="dxa"/>
            <w:tcBorders>
              <w:left w:val="nil"/>
              <w:bottom w:val="nil"/>
              <w:right w:val="single" w:sz="6" w:space="0" w:color="FFFFFF"/>
            </w:tcBorders>
          </w:tcPr>
          <w:p w:rsidR="00205F1A" w:rsidRDefault="00205F1A">
            <w:pPr>
              <w:pBdr>
                <w:top w:val="nil"/>
                <w:left w:val="nil"/>
                <w:bottom w:val="nil"/>
                <w:right w:val="nil"/>
                <w:between w:val="nil"/>
              </w:pBdr>
              <w:rPr>
                <w:rFonts w:ascii="Times New Roman" w:eastAsia="Times New Roman" w:hAnsi="Times New Roman" w:cs="Times New Roman"/>
                <w:color w:val="000000"/>
                <w:sz w:val="18"/>
                <w:szCs w:val="18"/>
              </w:rPr>
            </w:pPr>
          </w:p>
        </w:tc>
        <w:tc>
          <w:tcPr>
            <w:tcW w:w="7549" w:type="dxa"/>
            <w:tcBorders>
              <w:left w:val="single" w:sz="6" w:space="0" w:color="FFFFFF"/>
              <w:bottom w:val="nil"/>
              <w:right w:val="nil"/>
            </w:tcBorders>
          </w:tcPr>
          <w:p w:rsidR="00205F1A" w:rsidRDefault="00205F1A">
            <w:pPr>
              <w:pBdr>
                <w:top w:val="nil"/>
                <w:left w:val="nil"/>
                <w:bottom w:val="nil"/>
                <w:right w:val="nil"/>
                <w:between w:val="nil"/>
              </w:pBdr>
              <w:rPr>
                <w:rFonts w:ascii="Times New Roman" w:eastAsia="Times New Roman" w:hAnsi="Times New Roman" w:cs="Times New Roman"/>
                <w:color w:val="000000"/>
                <w:sz w:val="18"/>
                <w:szCs w:val="18"/>
              </w:rPr>
            </w:pPr>
          </w:p>
        </w:tc>
      </w:tr>
    </w:tbl>
    <w:p w:rsidR="00205F1A" w:rsidRDefault="00205F1A">
      <w:pPr>
        <w:pBdr>
          <w:top w:val="nil"/>
          <w:left w:val="nil"/>
          <w:bottom w:val="nil"/>
          <w:right w:val="nil"/>
          <w:between w:val="nil"/>
        </w:pBdr>
        <w:spacing w:before="4"/>
        <w:rPr>
          <w:rFonts w:ascii="Times New Roman" w:eastAsia="Times New Roman" w:hAnsi="Times New Roman" w:cs="Times New Roman"/>
          <w:color w:val="000000"/>
          <w:sz w:val="17"/>
          <w:szCs w:val="17"/>
        </w:rPr>
      </w:pPr>
    </w:p>
    <w:sectPr w:rsidR="00205F1A">
      <w:pgSz w:w="12240" w:h="15840"/>
      <w:pgMar w:top="720" w:right="1060" w:bottom="0" w:left="10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1A"/>
    <w:rsid w:val="000838C7"/>
    <w:rsid w:val="000D55A1"/>
    <w:rsid w:val="001A566F"/>
    <w:rsid w:val="00205F1A"/>
    <w:rsid w:val="0046644A"/>
    <w:rsid w:val="0057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6B46D"/>
  <w15:docId w15:val="{BB378B43-3F5E-4290-B616-15404AC7D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Verdana"/>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D529F"/>
    <w:rPr>
      <w:rFonts w:ascii="Tahoma" w:hAnsi="Tahoma" w:cs="Tahoma"/>
      <w:sz w:val="16"/>
      <w:szCs w:val="16"/>
    </w:rPr>
  </w:style>
  <w:style w:type="character" w:customStyle="1" w:styleId="BalloonTextChar">
    <w:name w:val="Balloon Text Char"/>
    <w:basedOn w:val="DefaultParagraphFont"/>
    <w:link w:val="BalloonText"/>
    <w:uiPriority w:val="99"/>
    <w:semiHidden/>
    <w:rsid w:val="005D529F"/>
    <w:rPr>
      <w:rFonts w:ascii="Tahoma" w:eastAsia="Verdana" w:hAnsi="Tahoma" w:cs="Tahoma"/>
      <w:sz w:val="16"/>
      <w:szCs w:val="16"/>
    </w:rPr>
  </w:style>
  <w:style w:type="character" w:styleId="Hyperlink">
    <w:name w:val="Hyperlink"/>
    <w:basedOn w:val="DefaultParagraphFont"/>
    <w:uiPriority w:val="99"/>
    <w:unhideWhenUsed/>
    <w:rsid w:val="00C23FD1"/>
    <w:rPr>
      <w:color w:val="0000FF"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tblPr>
      <w:tblStyleRowBandSize w:val="1"/>
      <w:tblStyleColBandSize w:val="1"/>
      <w:tblCellMar>
        <w:left w:w="0" w:type="dxa"/>
        <w:right w:w="0" w:type="dxa"/>
      </w:tblCellMar>
    </w:tbl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sph.umn.edu/academics/degrees-programs/distance/" TargetMode="External"/><Relationship Id="rId2" Type="http://schemas.openxmlformats.org/officeDocument/2006/relationships/styles" Target="styles.xml"/><Relationship Id="rId1" Type="http://schemas.openxmlformats.org/officeDocument/2006/relationships/customXml" Target="../customXml/item1.xml"/><Relationship Id="rId11" Type="http://schemas.openxmlformats.org/officeDocument/2006/relationships/hyperlink" Target="mailto:vphpm@umn.edu" TargetMode="External"/><Relationship Id="rId5" Type="http://schemas.openxmlformats.org/officeDocument/2006/relationships/image" Target="media/image1.jpg"/><Relationship Id="rId10" Type="http://schemas.openxmlformats.org/officeDocument/2006/relationships/hyperlink" Target="mailto:vphpm@umn.edu" TargetMode="External"/><Relationship Id="rId4" Type="http://schemas.openxmlformats.org/officeDocument/2006/relationships/webSettings" Target="webSettings.xml"/><Relationship Id="rId9" Type="http://schemas.openxmlformats.org/officeDocument/2006/relationships/hyperlink" Target="https://docs.google.com/forms/d/1xYxvF4abR_IxIZoJXZgf4EWFSEwk0fgSaNMoxqSs31I/ed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4mvWAM3UlATBik6Z2FWEm2Rd1g==">AMUW2mUehpg1sC1fD6nlXcJYTfHT0kvUCiV99vCVuE5vlKvbeehrFrxKzM5AjqJuE+SZwgN8EhS3XHxv6Cn0ZB/ZK1WjocKOXvvJdNEeTKJJ1PoTr+wJ2crVysDFlQukSVV2bD28QgWa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3</Pages>
  <Words>697</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junk0011</dc:creator>
  <cp:lastModifiedBy>Micheal Mahero</cp:lastModifiedBy>
  <cp:revision>5</cp:revision>
  <dcterms:created xsi:type="dcterms:W3CDTF">2022-03-09T22:24:00Z</dcterms:created>
  <dcterms:modified xsi:type="dcterms:W3CDTF">2022-03-11T21:36:00Z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2011-07-15T00:00:00Z</vt:filetime>
  </property>
  <property fmtid="{D5CDD505-2E9C-101B-9397-08002B2CF9AE}" pid="3" name="Creator">
    <vt:lpwstr>PScript5.dll Version 5.2.2</vt:lpwstr>
  </property>
  <property fmtid="{D5CDD505-2E9C-101B-9397-08002B2CF9AE}" pid="4" name="LastSaved">
    <vt:filetime>2020-03-02T00:00:00Z</vt:filetime>
  </property>
</Properties>
</file>