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C6ADB7" w14:textId="77777777" w:rsidR="003F0D68" w:rsidRPr="00DF5B84" w:rsidRDefault="003F0D68" w:rsidP="003F0D68">
      <w:pPr>
        <w:jc w:val="center"/>
        <w:rPr>
          <w:b/>
          <w:sz w:val="28"/>
          <w:szCs w:val="28"/>
          <w:lang w:val="en-GB"/>
        </w:rPr>
      </w:pPr>
      <w:bookmarkStart w:id="0" w:name="_GoBack"/>
      <w:bookmarkEnd w:id="0"/>
      <w:r w:rsidRPr="00DF5B84">
        <w:rPr>
          <w:b/>
          <w:sz w:val="28"/>
          <w:szCs w:val="28"/>
          <w:lang w:val="en-GB"/>
        </w:rPr>
        <w:t>2</w:t>
      </w:r>
      <w:r>
        <w:rPr>
          <w:b/>
          <w:sz w:val="28"/>
          <w:szCs w:val="28"/>
          <w:lang w:val="en-GB"/>
        </w:rPr>
        <w:t>5</w:t>
      </w:r>
      <w:r w:rsidRPr="004E1D3F">
        <w:rPr>
          <w:b/>
          <w:sz w:val="28"/>
          <w:szCs w:val="28"/>
          <w:vertAlign w:val="superscript"/>
          <w:lang w:val="en-GB"/>
        </w:rPr>
        <w:t>th</w:t>
      </w:r>
      <w:r>
        <w:rPr>
          <w:b/>
          <w:sz w:val="28"/>
          <w:szCs w:val="28"/>
          <w:lang w:val="en-GB"/>
        </w:rPr>
        <w:t xml:space="preserve"> </w:t>
      </w:r>
      <w:r w:rsidRPr="00DF5B84">
        <w:rPr>
          <w:b/>
          <w:sz w:val="28"/>
          <w:szCs w:val="28"/>
          <w:lang w:val="en-GB"/>
        </w:rPr>
        <w:t>Meeting of the GBEP Steering Committee</w:t>
      </w:r>
    </w:p>
    <w:p w14:paraId="15BC6A36" w14:textId="76CC5765" w:rsidR="00645DD3" w:rsidRDefault="00645DD3" w:rsidP="003F0D68">
      <w:pPr>
        <w:jc w:val="center"/>
        <w:rPr>
          <w:b/>
          <w:i/>
          <w:lang w:val="en-GB"/>
        </w:rPr>
      </w:pPr>
      <w:r>
        <w:rPr>
          <w:b/>
          <w:i/>
          <w:lang w:val="en-GB"/>
        </w:rPr>
        <w:t xml:space="preserve">SPECIAL ONLINE MEETING </w:t>
      </w:r>
    </w:p>
    <w:p w14:paraId="62032E14" w14:textId="34BF6164" w:rsidR="003F0D68" w:rsidRPr="00DF5B84" w:rsidRDefault="00645DD3" w:rsidP="003F0D68">
      <w:pPr>
        <w:jc w:val="center"/>
        <w:rPr>
          <w:b/>
          <w:i/>
          <w:lang w:val="en-GB"/>
        </w:rPr>
      </w:pPr>
      <w:r>
        <w:rPr>
          <w:b/>
          <w:i/>
          <w:lang w:val="en-GB"/>
        </w:rPr>
        <w:t xml:space="preserve"> 13.00 – 14.3</w:t>
      </w:r>
      <w:r w:rsidR="003F0D68">
        <w:rPr>
          <w:b/>
          <w:i/>
          <w:lang w:val="en-GB"/>
        </w:rPr>
        <w:t>0 CEST time (UTC +2)</w:t>
      </w:r>
    </w:p>
    <w:p w14:paraId="2F0BA4FC" w14:textId="77777777" w:rsidR="003F0D68" w:rsidRPr="00DF5B84" w:rsidRDefault="003F0D68" w:rsidP="003F0D68">
      <w:pPr>
        <w:jc w:val="center"/>
        <w:rPr>
          <w:lang w:val="en-GB"/>
        </w:rPr>
      </w:pPr>
      <w:r>
        <w:rPr>
          <w:lang w:val="en-GB"/>
        </w:rPr>
        <w:t>Thursday, 23 June 2022</w:t>
      </w:r>
    </w:p>
    <w:p w14:paraId="6CC52AB7" w14:textId="23C66C8F" w:rsidR="003F0D68" w:rsidRDefault="003F0D68" w:rsidP="003F0D68">
      <w:pPr>
        <w:jc w:val="center"/>
        <w:rPr>
          <w:b/>
          <w:i/>
          <w:sz w:val="16"/>
          <w:szCs w:val="16"/>
          <w:lang w:val="en-GB"/>
        </w:rPr>
      </w:pPr>
    </w:p>
    <w:p w14:paraId="0E3F81EB" w14:textId="0D51E4A2" w:rsidR="00F227AF" w:rsidRDefault="00F227AF" w:rsidP="003F0D68">
      <w:pPr>
        <w:jc w:val="center"/>
        <w:rPr>
          <w:b/>
          <w:i/>
          <w:sz w:val="16"/>
          <w:szCs w:val="16"/>
          <w:lang w:val="en-GB"/>
        </w:rPr>
      </w:pPr>
    </w:p>
    <w:p w14:paraId="19BCE2B6" w14:textId="77777777" w:rsidR="006842EB" w:rsidRPr="00520C8D" w:rsidRDefault="006842EB" w:rsidP="003F0D68">
      <w:pPr>
        <w:jc w:val="center"/>
        <w:rPr>
          <w:b/>
          <w:i/>
          <w:sz w:val="16"/>
          <w:szCs w:val="16"/>
          <w:lang w:val="en-GB"/>
        </w:rPr>
      </w:pPr>
    </w:p>
    <w:p w14:paraId="6304A025" w14:textId="1E2B82C4" w:rsidR="003F0D68" w:rsidRDefault="003F0D68" w:rsidP="00040B0A">
      <w:pPr>
        <w:spacing w:after="240"/>
        <w:contextualSpacing/>
        <w:jc w:val="center"/>
        <w:rPr>
          <w:b/>
          <w:i/>
          <w:lang w:val="en-GB"/>
        </w:rPr>
      </w:pPr>
      <w:r>
        <w:rPr>
          <w:b/>
          <w:i/>
          <w:lang w:val="en-GB"/>
        </w:rPr>
        <w:t>BACKGROUND DOCUMENT</w:t>
      </w:r>
    </w:p>
    <w:p w14:paraId="06445B12" w14:textId="39EFCAE8" w:rsidR="00F227AF" w:rsidRDefault="00F227AF" w:rsidP="00040B0A">
      <w:pPr>
        <w:spacing w:after="240"/>
        <w:contextualSpacing/>
        <w:jc w:val="center"/>
        <w:rPr>
          <w:b/>
          <w:i/>
          <w:lang w:val="en-GB"/>
        </w:rPr>
      </w:pPr>
    </w:p>
    <w:p w14:paraId="3F47FAA7" w14:textId="1C5F6EF0" w:rsidR="00F227AF" w:rsidRDefault="00F227AF" w:rsidP="006842EB">
      <w:pPr>
        <w:spacing w:after="240"/>
        <w:contextualSpacing/>
        <w:rPr>
          <w:b/>
          <w:i/>
          <w:lang w:val="en-GB"/>
        </w:rPr>
      </w:pPr>
    </w:p>
    <w:p w14:paraId="142FBA84" w14:textId="77777777" w:rsidR="006842EB" w:rsidRDefault="006842EB" w:rsidP="006842EB">
      <w:pPr>
        <w:spacing w:after="240"/>
        <w:contextualSpacing/>
        <w:rPr>
          <w:b/>
          <w:i/>
          <w:lang w:val="en-GB"/>
        </w:rPr>
      </w:pPr>
    </w:p>
    <w:p w14:paraId="4F4ED4B5" w14:textId="23C16EE4" w:rsidR="0036518A" w:rsidRDefault="0036518A" w:rsidP="006842EB">
      <w:pPr>
        <w:spacing w:after="240"/>
        <w:contextualSpacing/>
        <w:rPr>
          <w:b/>
          <w:i/>
          <w:lang w:val="en-GB"/>
        </w:rPr>
      </w:pPr>
      <w:r>
        <w:rPr>
          <w:b/>
          <w:i/>
          <w:lang w:val="en-GB"/>
        </w:rPr>
        <w:t>Objective</w:t>
      </w:r>
    </w:p>
    <w:p w14:paraId="4EC7DAF9" w14:textId="55A05C77" w:rsidR="0036518A" w:rsidRPr="006842EB" w:rsidRDefault="0036518A" w:rsidP="006842EB">
      <w:pPr>
        <w:spacing w:after="240"/>
        <w:contextualSpacing/>
        <w:jc w:val="both"/>
        <w:rPr>
          <w:lang w:val="en-GB"/>
        </w:rPr>
      </w:pPr>
      <w:r>
        <w:rPr>
          <w:rStyle w:val="Normal1"/>
        </w:rPr>
        <w:t>FAO is a founding member of GBEP and has been hosting its Secretariat in the FAO Headquarters in Rome since its establishment</w:t>
      </w:r>
      <w:r w:rsidRPr="00221BF3">
        <w:rPr>
          <w:rStyle w:val="Normal1"/>
        </w:rPr>
        <w:t xml:space="preserve"> in 2006</w:t>
      </w:r>
      <w:r>
        <w:rPr>
          <w:rStyle w:val="Normal1"/>
        </w:rPr>
        <w:t xml:space="preserve"> thanks to the generous contributions of GBEP members</w:t>
      </w:r>
      <w:r w:rsidR="006842EB">
        <w:rPr>
          <w:rStyle w:val="Normal1"/>
        </w:rPr>
        <w:t xml:space="preserve"> (Annex I)</w:t>
      </w:r>
      <w:r>
        <w:rPr>
          <w:rStyle w:val="Normal1"/>
        </w:rPr>
        <w:t xml:space="preserve">. However, the GBEP project will come to an end on 31 December </w:t>
      </w:r>
      <w:r w:rsidRPr="0036518A">
        <w:rPr>
          <w:rStyle w:val="Normal1"/>
        </w:rPr>
        <w:t>2022</w:t>
      </w:r>
      <w:r>
        <w:rPr>
          <w:rStyle w:val="Normal1"/>
        </w:rPr>
        <w:t xml:space="preserve"> unless new funds are mobilised</w:t>
      </w:r>
      <w:r w:rsidRPr="0036518A">
        <w:rPr>
          <w:rStyle w:val="Normal1"/>
        </w:rPr>
        <w:t xml:space="preserve">. </w:t>
      </w:r>
      <w:r>
        <w:rPr>
          <w:lang w:val="en-GB"/>
        </w:rPr>
        <w:t>The aim of this paper is present the current state of GBEP and to discuss its future especially the urgent need for mobilising new resources to keep the project alive.</w:t>
      </w:r>
    </w:p>
    <w:p w14:paraId="1A0E82E4" w14:textId="35E6D15F" w:rsidR="005F02C9" w:rsidRDefault="003D3D6A" w:rsidP="00D76A09">
      <w:pPr>
        <w:pStyle w:val="NoSpacing"/>
        <w:spacing w:before="120" w:after="120"/>
        <w:jc w:val="both"/>
        <w:rPr>
          <w:rStyle w:val="Normal1"/>
          <w:szCs w:val="24"/>
        </w:rPr>
      </w:pPr>
      <w:hyperlink r:id="rId11" w:history="1">
        <w:r w:rsidR="00D76A09" w:rsidRPr="0090669C">
          <w:rPr>
            <w:rStyle w:val="Hyperlink"/>
            <w:szCs w:val="24"/>
          </w:rPr>
          <w:t>GBEP</w:t>
        </w:r>
      </w:hyperlink>
      <w:r w:rsidR="00591C20" w:rsidRPr="00D76A09">
        <w:rPr>
          <w:rStyle w:val="Normal1"/>
          <w:szCs w:val="24"/>
        </w:rPr>
        <w:t xml:space="preserve"> </w:t>
      </w:r>
      <w:r w:rsidR="00B764DE" w:rsidRPr="00D76A09">
        <w:rPr>
          <w:rStyle w:val="Normal1"/>
          <w:szCs w:val="24"/>
        </w:rPr>
        <w:t>is</w:t>
      </w:r>
      <w:r w:rsidR="00B764DE">
        <w:rPr>
          <w:rStyle w:val="Normal1"/>
          <w:szCs w:val="24"/>
        </w:rPr>
        <w:t xml:space="preserve"> an international initiative </w:t>
      </w:r>
      <w:r w:rsidR="00591C20">
        <w:rPr>
          <w:rStyle w:val="Normal1"/>
          <w:szCs w:val="24"/>
        </w:rPr>
        <w:t xml:space="preserve">established </w:t>
      </w:r>
      <w:r w:rsidR="003F0D68">
        <w:rPr>
          <w:rStyle w:val="Normal1"/>
          <w:szCs w:val="24"/>
        </w:rPr>
        <w:t xml:space="preserve">to reflect the </w:t>
      </w:r>
      <w:r w:rsidR="00176631">
        <w:rPr>
          <w:rStyle w:val="Normal1"/>
          <w:szCs w:val="24"/>
        </w:rPr>
        <w:t xml:space="preserve">commitment </w:t>
      </w:r>
      <w:r w:rsidR="00161A21">
        <w:rPr>
          <w:rStyle w:val="Normal1"/>
          <w:szCs w:val="24"/>
        </w:rPr>
        <w:t xml:space="preserve">taken by G8 Leaders in 2005 </w:t>
      </w:r>
      <w:r w:rsidR="00B23F22" w:rsidRPr="00D86A33">
        <w:rPr>
          <w:rStyle w:val="Normal1"/>
          <w:szCs w:val="24"/>
        </w:rPr>
        <w:t>t</w:t>
      </w:r>
      <w:r w:rsidR="00B764DE" w:rsidRPr="00D86A33">
        <w:rPr>
          <w:rStyle w:val="Normal1"/>
          <w:szCs w:val="24"/>
        </w:rPr>
        <w:t>o</w:t>
      </w:r>
      <w:r w:rsidR="00D86A33" w:rsidRPr="00161A21">
        <w:rPr>
          <w:rStyle w:val="Normal1"/>
          <w:szCs w:val="24"/>
        </w:rPr>
        <w:t xml:space="preserve"> </w:t>
      </w:r>
      <w:r w:rsidR="00161A21" w:rsidRPr="00161A21">
        <w:rPr>
          <w:rStyle w:val="Normal1"/>
          <w:szCs w:val="24"/>
        </w:rPr>
        <w:t>launch the “Global Bioenergy Partnership to support wider, cost effective, biomass and biofuels deployment, particularly in developing countries where biomass use is prevalent".</w:t>
      </w:r>
      <w:r w:rsidR="005F02C9">
        <w:rPr>
          <w:rStyle w:val="Normal1"/>
          <w:szCs w:val="24"/>
        </w:rPr>
        <w:t xml:space="preserve"> </w:t>
      </w:r>
      <w:r w:rsidR="003F0D68">
        <w:rPr>
          <w:rStyle w:val="Normal1"/>
          <w:szCs w:val="24"/>
        </w:rPr>
        <w:t>The GBEP</w:t>
      </w:r>
      <w:r w:rsidR="003F0D68" w:rsidRPr="00770160">
        <w:rPr>
          <w:rStyle w:val="Normal1"/>
          <w:szCs w:val="24"/>
        </w:rPr>
        <w:t xml:space="preserve"> membership has expanded to include most G20 countries</w:t>
      </w:r>
      <w:r w:rsidR="003F0D68">
        <w:rPr>
          <w:rStyle w:val="Normal1"/>
          <w:szCs w:val="24"/>
        </w:rPr>
        <w:t xml:space="preserve"> and beyond, reaching up to more than </w:t>
      </w:r>
      <w:hyperlink r:id="rId12" w:history="1">
        <w:r w:rsidR="003F0D68" w:rsidRPr="0090669C">
          <w:rPr>
            <w:rStyle w:val="Hyperlink"/>
            <w:szCs w:val="24"/>
          </w:rPr>
          <w:t>80 members</w:t>
        </w:r>
      </w:hyperlink>
      <w:r w:rsidR="003F0D68">
        <w:rPr>
          <w:rStyle w:val="Normal1"/>
          <w:szCs w:val="24"/>
        </w:rPr>
        <w:t xml:space="preserve"> between Governments and International Organizations</w:t>
      </w:r>
      <w:r w:rsidR="003F0D68" w:rsidRPr="00770160">
        <w:rPr>
          <w:rStyle w:val="Normal1"/>
          <w:szCs w:val="24"/>
        </w:rPr>
        <w:t>.</w:t>
      </w:r>
      <w:r w:rsidR="003F0D68">
        <w:rPr>
          <w:rStyle w:val="Normal1"/>
          <w:szCs w:val="24"/>
        </w:rPr>
        <w:t xml:space="preserve"> Since its establishment, GBEP has received renewed mandates from subsequent </w:t>
      </w:r>
      <w:hyperlink r:id="rId13" w:history="1">
        <w:r w:rsidR="003F0D68" w:rsidRPr="0090669C">
          <w:rPr>
            <w:rStyle w:val="Hyperlink"/>
            <w:szCs w:val="24"/>
          </w:rPr>
          <w:t>G7 and G20 Leader Summits</w:t>
        </w:r>
      </w:hyperlink>
      <w:r w:rsidR="003F0D68">
        <w:rPr>
          <w:rStyle w:val="Normal1"/>
          <w:szCs w:val="24"/>
        </w:rPr>
        <w:t>.</w:t>
      </w:r>
    </w:p>
    <w:p w14:paraId="49F6D793" w14:textId="55D47E31" w:rsidR="003F0D68" w:rsidRDefault="003F0D68" w:rsidP="006842EB">
      <w:pPr>
        <w:pStyle w:val="NoSpacing"/>
        <w:spacing w:before="120" w:after="120"/>
        <w:jc w:val="both"/>
        <w:rPr>
          <w:rStyle w:val="Normal1"/>
          <w:rFonts w:cstheme="minorHAnsi"/>
          <w:szCs w:val="24"/>
        </w:rPr>
      </w:pPr>
      <w:r w:rsidRPr="00AA5F41">
        <w:rPr>
          <w:rStyle w:val="Normal1"/>
          <w:u w:val="single"/>
        </w:rPr>
        <w:t xml:space="preserve">GBEP has gained </w:t>
      </w:r>
      <w:r w:rsidR="00EA61E2">
        <w:rPr>
          <w:rStyle w:val="Normal1"/>
          <w:u w:val="single"/>
        </w:rPr>
        <w:t>a robust</w:t>
      </w:r>
      <w:r w:rsidRPr="00AA5F41">
        <w:rPr>
          <w:rStyle w:val="Normal1"/>
          <w:u w:val="single"/>
        </w:rPr>
        <w:t xml:space="preserve"> international trust thanks to its work in the last 16 years. It is internationally recognized as the most relevant international initiative dealing with bioenergy and contributing to ensure that sustainable bioenergy is an engine of low-carbon and sustainable development.</w:t>
      </w:r>
      <w:r w:rsidR="006842EB">
        <w:rPr>
          <w:rStyle w:val="Normal1"/>
          <w:u w:val="single"/>
        </w:rPr>
        <w:t xml:space="preserve"> </w:t>
      </w:r>
      <w:r w:rsidR="006842EB" w:rsidRPr="006842EB">
        <w:rPr>
          <w:rStyle w:val="Normal1"/>
        </w:rPr>
        <w:t>D</w:t>
      </w:r>
      <w:r w:rsidR="00F83779">
        <w:rPr>
          <w:rStyle w:val="Normal1"/>
          <w:rFonts w:cstheme="minorHAnsi"/>
          <w:szCs w:val="24"/>
        </w:rPr>
        <w:t xml:space="preserve">etails on the </w:t>
      </w:r>
      <w:r w:rsidR="000B5954">
        <w:rPr>
          <w:rStyle w:val="Normal1"/>
          <w:rFonts w:cstheme="minorHAnsi"/>
          <w:szCs w:val="24"/>
        </w:rPr>
        <w:t xml:space="preserve">most relevant </w:t>
      </w:r>
      <w:r w:rsidR="00F83779">
        <w:rPr>
          <w:rStyle w:val="Normal1"/>
          <w:rFonts w:cstheme="minorHAnsi"/>
          <w:szCs w:val="24"/>
        </w:rPr>
        <w:t xml:space="preserve">GBEP achievements </w:t>
      </w:r>
      <w:r w:rsidR="000B5954">
        <w:rPr>
          <w:rStyle w:val="Normal1"/>
          <w:rFonts w:cstheme="minorHAnsi"/>
          <w:szCs w:val="24"/>
        </w:rPr>
        <w:t xml:space="preserve">are </w:t>
      </w:r>
      <w:r w:rsidR="00F83779">
        <w:rPr>
          <w:rStyle w:val="Normal1"/>
          <w:rFonts w:cstheme="minorHAnsi"/>
          <w:szCs w:val="24"/>
        </w:rPr>
        <w:t>in Annex II.</w:t>
      </w:r>
      <w:r w:rsidRPr="0062224B">
        <w:rPr>
          <w:rStyle w:val="Normal1"/>
          <w:rFonts w:cstheme="minorHAnsi"/>
          <w:szCs w:val="24"/>
        </w:rPr>
        <w:t xml:space="preserve"> </w:t>
      </w:r>
    </w:p>
    <w:p w14:paraId="4D728334" w14:textId="2BCD4EA1" w:rsidR="00F227AF" w:rsidRDefault="00F227AF" w:rsidP="00F83779">
      <w:pPr>
        <w:pStyle w:val="StyleAfter0pt"/>
        <w:spacing w:after="360" w:line="240" w:lineRule="auto"/>
        <w:contextualSpacing/>
        <w:rPr>
          <w:rStyle w:val="Normal1"/>
          <w:rFonts w:asciiTheme="minorHAnsi" w:hAnsiTheme="minorHAnsi" w:cstheme="minorHAnsi"/>
          <w:sz w:val="24"/>
          <w:szCs w:val="24"/>
        </w:rPr>
      </w:pPr>
    </w:p>
    <w:p w14:paraId="7E4E35F3" w14:textId="35EEA41C" w:rsidR="00F227AF" w:rsidRDefault="00F227AF" w:rsidP="00F83779">
      <w:pPr>
        <w:pStyle w:val="StyleAfter0pt"/>
        <w:spacing w:after="360" w:line="240" w:lineRule="auto"/>
        <w:contextualSpacing/>
        <w:rPr>
          <w:rStyle w:val="Normal1"/>
          <w:rFonts w:asciiTheme="minorHAnsi" w:hAnsiTheme="minorHAnsi" w:cstheme="minorHAnsi"/>
          <w:sz w:val="24"/>
          <w:szCs w:val="24"/>
        </w:rPr>
      </w:pPr>
    </w:p>
    <w:p w14:paraId="1F1A98D2" w14:textId="1A4CD428" w:rsidR="00F227AF" w:rsidRDefault="00F227AF" w:rsidP="00F83779">
      <w:pPr>
        <w:pStyle w:val="StyleAfter0pt"/>
        <w:spacing w:after="360" w:line="240" w:lineRule="auto"/>
        <w:contextualSpacing/>
        <w:rPr>
          <w:rStyle w:val="Normal1"/>
          <w:rFonts w:asciiTheme="minorHAnsi" w:hAnsiTheme="minorHAnsi" w:cstheme="minorHAnsi"/>
          <w:sz w:val="24"/>
          <w:szCs w:val="24"/>
        </w:rPr>
      </w:pPr>
    </w:p>
    <w:p w14:paraId="1073C18D" w14:textId="0EB61A4D" w:rsidR="00F227AF" w:rsidRDefault="00F227AF" w:rsidP="00F83779">
      <w:pPr>
        <w:pStyle w:val="StyleAfter0pt"/>
        <w:spacing w:after="360" w:line="240" w:lineRule="auto"/>
        <w:contextualSpacing/>
        <w:rPr>
          <w:rStyle w:val="Normal1"/>
          <w:rFonts w:asciiTheme="minorHAnsi" w:hAnsiTheme="minorHAnsi" w:cstheme="minorHAnsi"/>
          <w:sz w:val="24"/>
          <w:szCs w:val="24"/>
        </w:rPr>
      </w:pPr>
    </w:p>
    <w:p w14:paraId="7B1BC194" w14:textId="55B0BC03" w:rsidR="00F227AF" w:rsidRDefault="00F227AF" w:rsidP="00F83779">
      <w:pPr>
        <w:pStyle w:val="StyleAfter0pt"/>
        <w:spacing w:after="360" w:line="240" w:lineRule="auto"/>
        <w:contextualSpacing/>
        <w:rPr>
          <w:rStyle w:val="Normal1"/>
          <w:rFonts w:asciiTheme="minorHAnsi" w:hAnsiTheme="minorHAnsi" w:cstheme="minorHAnsi"/>
          <w:sz w:val="24"/>
          <w:szCs w:val="24"/>
        </w:rPr>
      </w:pPr>
    </w:p>
    <w:p w14:paraId="7829A789" w14:textId="7BC29BFF" w:rsidR="00F227AF" w:rsidRDefault="00F227AF" w:rsidP="00F83779">
      <w:pPr>
        <w:pStyle w:val="StyleAfter0pt"/>
        <w:spacing w:after="360" w:line="240" w:lineRule="auto"/>
        <w:contextualSpacing/>
        <w:rPr>
          <w:rStyle w:val="Normal1"/>
          <w:rFonts w:asciiTheme="minorHAnsi" w:hAnsiTheme="minorHAnsi" w:cstheme="minorHAnsi"/>
          <w:sz w:val="24"/>
          <w:szCs w:val="24"/>
        </w:rPr>
      </w:pPr>
    </w:p>
    <w:p w14:paraId="73E782EA" w14:textId="3BD6DFE6" w:rsidR="00F227AF" w:rsidRDefault="00F227AF" w:rsidP="00F83779">
      <w:pPr>
        <w:pStyle w:val="StyleAfter0pt"/>
        <w:spacing w:after="360" w:line="240" w:lineRule="auto"/>
        <w:contextualSpacing/>
        <w:rPr>
          <w:rStyle w:val="Normal1"/>
          <w:rFonts w:asciiTheme="minorHAnsi" w:hAnsiTheme="minorHAnsi" w:cstheme="minorHAnsi"/>
          <w:sz w:val="24"/>
          <w:szCs w:val="24"/>
        </w:rPr>
      </w:pPr>
    </w:p>
    <w:p w14:paraId="3D585B96" w14:textId="18CD02B0" w:rsidR="00F227AF" w:rsidRDefault="00F227AF" w:rsidP="00F83779">
      <w:pPr>
        <w:pStyle w:val="StyleAfter0pt"/>
        <w:spacing w:after="360" w:line="240" w:lineRule="auto"/>
        <w:contextualSpacing/>
        <w:rPr>
          <w:rStyle w:val="Normal1"/>
          <w:rFonts w:asciiTheme="minorHAnsi" w:hAnsiTheme="minorHAnsi" w:cstheme="minorHAnsi"/>
          <w:sz w:val="24"/>
          <w:szCs w:val="24"/>
        </w:rPr>
      </w:pPr>
    </w:p>
    <w:p w14:paraId="0BECCEC4" w14:textId="6DACAC73" w:rsidR="00F227AF" w:rsidRDefault="00F227AF" w:rsidP="00F83779">
      <w:pPr>
        <w:pStyle w:val="StyleAfter0pt"/>
        <w:spacing w:after="360" w:line="240" w:lineRule="auto"/>
        <w:contextualSpacing/>
        <w:rPr>
          <w:rStyle w:val="Normal1"/>
          <w:rFonts w:asciiTheme="minorHAnsi" w:hAnsiTheme="minorHAnsi" w:cstheme="minorHAnsi"/>
          <w:sz w:val="24"/>
          <w:szCs w:val="24"/>
        </w:rPr>
      </w:pPr>
    </w:p>
    <w:p w14:paraId="1460BA61" w14:textId="1D05D0C1" w:rsidR="00F227AF" w:rsidRDefault="00F227AF" w:rsidP="00F83779">
      <w:pPr>
        <w:pStyle w:val="StyleAfter0pt"/>
        <w:spacing w:after="360" w:line="240" w:lineRule="auto"/>
        <w:contextualSpacing/>
        <w:rPr>
          <w:rStyle w:val="Normal1"/>
          <w:rFonts w:asciiTheme="minorHAnsi" w:hAnsiTheme="minorHAnsi" w:cstheme="minorHAnsi"/>
          <w:sz w:val="24"/>
          <w:szCs w:val="24"/>
        </w:rPr>
      </w:pPr>
    </w:p>
    <w:p w14:paraId="0326379C" w14:textId="78401553" w:rsidR="00F227AF" w:rsidRDefault="00F227AF" w:rsidP="00F83779">
      <w:pPr>
        <w:pStyle w:val="StyleAfter0pt"/>
        <w:spacing w:after="360" w:line="240" w:lineRule="auto"/>
        <w:contextualSpacing/>
        <w:rPr>
          <w:rStyle w:val="Normal1"/>
          <w:rFonts w:asciiTheme="minorHAnsi" w:hAnsiTheme="minorHAnsi" w:cstheme="minorHAnsi"/>
          <w:sz w:val="24"/>
          <w:szCs w:val="24"/>
        </w:rPr>
      </w:pPr>
    </w:p>
    <w:p w14:paraId="4D7EFE2C" w14:textId="73F8A970" w:rsidR="00F227AF" w:rsidRDefault="00F227AF" w:rsidP="00F83779">
      <w:pPr>
        <w:pStyle w:val="StyleAfter0pt"/>
        <w:spacing w:after="360" w:line="240" w:lineRule="auto"/>
        <w:contextualSpacing/>
        <w:rPr>
          <w:rStyle w:val="Normal1"/>
          <w:rFonts w:asciiTheme="minorHAnsi" w:hAnsiTheme="minorHAnsi" w:cstheme="minorHAnsi"/>
          <w:sz w:val="24"/>
          <w:szCs w:val="24"/>
        </w:rPr>
      </w:pPr>
    </w:p>
    <w:p w14:paraId="25892F64" w14:textId="4B9E5DCB" w:rsidR="00F227AF" w:rsidRDefault="00F227AF" w:rsidP="00F83779">
      <w:pPr>
        <w:pStyle w:val="StyleAfter0pt"/>
        <w:spacing w:after="360" w:line="240" w:lineRule="auto"/>
        <w:contextualSpacing/>
        <w:rPr>
          <w:rStyle w:val="Normal1"/>
          <w:rFonts w:asciiTheme="minorHAnsi" w:hAnsiTheme="minorHAnsi" w:cstheme="minorHAnsi"/>
          <w:sz w:val="24"/>
          <w:szCs w:val="24"/>
        </w:rPr>
      </w:pPr>
    </w:p>
    <w:p w14:paraId="15810765" w14:textId="77777777" w:rsidR="006842EB" w:rsidRDefault="006842EB" w:rsidP="00F83779">
      <w:pPr>
        <w:pStyle w:val="StyleAfter0pt"/>
        <w:spacing w:after="360" w:line="240" w:lineRule="auto"/>
        <w:contextualSpacing/>
        <w:rPr>
          <w:rStyle w:val="Normal1"/>
          <w:rFonts w:asciiTheme="minorHAnsi" w:hAnsiTheme="minorHAnsi" w:cstheme="minorHAnsi"/>
          <w:sz w:val="24"/>
          <w:szCs w:val="24"/>
        </w:rPr>
      </w:pPr>
    </w:p>
    <w:p w14:paraId="7BCCB3A6" w14:textId="14BAED35" w:rsidR="00F227AF" w:rsidRDefault="00F227AF" w:rsidP="00F83779">
      <w:pPr>
        <w:pStyle w:val="StyleAfter0pt"/>
        <w:spacing w:after="360" w:line="240" w:lineRule="auto"/>
        <w:contextualSpacing/>
        <w:rPr>
          <w:rStyle w:val="Normal1"/>
          <w:rFonts w:asciiTheme="minorHAnsi" w:hAnsiTheme="minorHAnsi" w:cstheme="minorHAnsi"/>
          <w:sz w:val="24"/>
          <w:szCs w:val="24"/>
        </w:rPr>
      </w:pPr>
    </w:p>
    <w:p w14:paraId="622ACF43" w14:textId="32BB3D63" w:rsidR="00F227AF" w:rsidRDefault="00F227AF" w:rsidP="00F83779">
      <w:pPr>
        <w:pStyle w:val="StyleAfter0pt"/>
        <w:spacing w:after="360" w:line="240" w:lineRule="auto"/>
        <w:contextualSpacing/>
        <w:rPr>
          <w:rStyle w:val="Normal1"/>
          <w:rFonts w:asciiTheme="minorHAnsi" w:hAnsiTheme="minorHAnsi" w:cstheme="minorHAnsi"/>
          <w:sz w:val="24"/>
          <w:szCs w:val="24"/>
        </w:rPr>
      </w:pPr>
    </w:p>
    <w:p w14:paraId="49B23338" w14:textId="3E4927E5" w:rsidR="0090669C" w:rsidRPr="00D31414" w:rsidRDefault="00C15BCB" w:rsidP="00176631">
      <w:pPr>
        <w:pStyle w:val="NoSpacing"/>
        <w:pBdr>
          <w:top w:val="single" w:sz="4" w:space="1" w:color="auto"/>
          <w:left w:val="single" w:sz="4" w:space="4" w:color="auto"/>
          <w:bottom w:val="single" w:sz="4" w:space="1" w:color="auto"/>
          <w:right w:val="single" w:sz="4" w:space="4" w:color="auto"/>
        </w:pBdr>
        <w:spacing w:before="120" w:after="120"/>
        <w:jc w:val="both"/>
        <w:rPr>
          <w:rStyle w:val="Normal1"/>
          <w:b/>
          <w:caps/>
          <w:szCs w:val="24"/>
        </w:rPr>
      </w:pPr>
      <w:r>
        <w:rPr>
          <w:rStyle w:val="Normal1"/>
          <w:b/>
          <w:caps/>
          <w:szCs w:val="24"/>
        </w:rPr>
        <w:lastRenderedPageBreak/>
        <w:t xml:space="preserve"> GBEP achievements</w:t>
      </w:r>
    </w:p>
    <w:p w14:paraId="5B584B90" w14:textId="77777777" w:rsidR="001F4342" w:rsidRPr="001F4342" w:rsidRDefault="001F4342" w:rsidP="001F4342">
      <w:pPr>
        <w:pStyle w:val="NoSpacing"/>
        <w:spacing w:before="120" w:after="120"/>
        <w:ind w:left="360"/>
        <w:jc w:val="both"/>
        <w:rPr>
          <w:rStyle w:val="Normal1"/>
          <w:sz w:val="16"/>
          <w:szCs w:val="16"/>
        </w:rPr>
      </w:pPr>
    </w:p>
    <w:p w14:paraId="369C0680" w14:textId="77777777" w:rsidR="001F4342" w:rsidRDefault="001F4342" w:rsidP="001F4342">
      <w:pPr>
        <w:pStyle w:val="NoSpacing"/>
        <w:numPr>
          <w:ilvl w:val="0"/>
          <w:numId w:val="35"/>
        </w:numPr>
        <w:spacing w:before="120" w:after="120"/>
        <w:ind w:left="357" w:hanging="357"/>
        <w:jc w:val="both"/>
        <w:rPr>
          <w:rStyle w:val="Normal1"/>
          <w:szCs w:val="24"/>
        </w:rPr>
      </w:pPr>
      <w:r w:rsidRPr="005F02C9">
        <w:rPr>
          <w:rStyle w:val="Normal1"/>
          <w:b/>
          <w:szCs w:val="24"/>
        </w:rPr>
        <w:t>The</w:t>
      </w:r>
      <w:r w:rsidRPr="005D4F29">
        <w:rPr>
          <w:rStyle w:val="Normal1"/>
          <w:b/>
          <w:szCs w:val="24"/>
        </w:rPr>
        <w:t xml:space="preserve"> international credibility of GBEP has constantly grown </w:t>
      </w:r>
      <w:r w:rsidRPr="00520C8D">
        <w:rPr>
          <w:rStyle w:val="Normal1"/>
          <w:szCs w:val="24"/>
        </w:rPr>
        <w:t>and it is currently recognized</w:t>
      </w:r>
      <w:r w:rsidRPr="005D4F29">
        <w:rPr>
          <w:rStyle w:val="Normal1"/>
          <w:b/>
          <w:szCs w:val="24"/>
        </w:rPr>
        <w:t xml:space="preserve"> </w:t>
      </w:r>
      <w:r w:rsidRPr="00520C8D">
        <w:rPr>
          <w:rStyle w:val="Normal1"/>
          <w:szCs w:val="24"/>
        </w:rPr>
        <w:t>as</w:t>
      </w:r>
      <w:r w:rsidRPr="005D4F29">
        <w:rPr>
          <w:rStyle w:val="Normal1"/>
          <w:b/>
          <w:szCs w:val="24"/>
        </w:rPr>
        <w:t xml:space="preserve"> the most comprehensive and trusted international initiative focus</w:t>
      </w:r>
      <w:r>
        <w:rPr>
          <w:rStyle w:val="Normal1"/>
          <w:b/>
          <w:szCs w:val="24"/>
        </w:rPr>
        <w:t>ed</w:t>
      </w:r>
      <w:r w:rsidRPr="005D4F29">
        <w:rPr>
          <w:rStyle w:val="Normal1"/>
          <w:b/>
          <w:szCs w:val="24"/>
        </w:rPr>
        <w:t xml:space="preserve"> on bioenergy.</w:t>
      </w:r>
      <w:r>
        <w:rPr>
          <w:rStyle w:val="Normal1"/>
          <w:szCs w:val="24"/>
        </w:rPr>
        <w:t xml:space="preserve">  </w:t>
      </w:r>
    </w:p>
    <w:p w14:paraId="69BE894A" w14:textId="77777777" w:rsidR="00FF0E48" w:rsidRPr="00E209E0" w:rsidRDefault="00FF0E48" w:rsidP="00FF0E48">
      <w:pPr>
        <w:pStyle w:val="NoSpacing"/>
        <w:numPr>
          <w:ilvl w:val="0"/>
          <w:numId w:val="35"/>
        </w:numPr>
        <w:spacing w:before="120" w:after="120"/>
        <w:ind w:left="357" w:hanging="357"/>
        <w:jc w:val="both"/>
        <w:rPr>
          <w:rStyle w:val="Normal1"/>
          <w:szCs w:val="24"/>
        </w:rPr>
      </w:pPr>
      <w:r w:rsidRPr="00E209E0">
        <w:rPr>
          <w:rStyle w:val="Normal1"/>
          <w:szCs w:val="24"/>
        </w:rPr>
        <w:t xml:space="preserve">The GBEP initiative has been reaching directly </w:t>
      </w:r>
      <w:r>
        <w:rPr>
          <w:rStyle w:val="Normal1"/>
          <w:b/>
          <w:szCs w:val="24"/>
        </w:rPr>
        <w:t xml:space="preserve">more than half a million experts, </w:t>
      </w:r>
      <w:r w:rsidRPr="00E209E0">
        <w:rPr>
          <w:rStyle w:val="Normal1"/>
          <w:szCs w:val="24"/>
        </w:rPr>
        <w:t>from all over the world</w:t>
      </w:r>
      <w:r>
        <w:rPr>
          <w:rStyle w:val="Normal1"/>
          <w:szCs w:val="24"/>
        </w:rPr>
        <w:t>,</w:t>
      </w:r>
      <w:r w:rsidRPr="00E209E0">
        <w:rPr>
          <w:rStyle w:val="Normal1"/>
          <w:szCs w:val="24"/>
        </w:rPr>
        <w:t xml:space="preserve"> through GBEP organized trainings</w:t>
      </w:r>
      <w:r>
        <w:rPr>
          <w:rStyle w:val="Normal1"/>
          <w:szCs w:val="24"/>
        </w:rPr>
        <w:t>,</w:t>
      </w:r>
      <w:r w:rsidRPr="00E209E0">
        <w:rPr>
          <w:rStyle w:val="Normal1"/>
          <w:szCs w:val="24"/>
        </w:rPr>
        <w:t xml:space="preserve"> workshops and conferences.</w:t>
      </w:r>
    </w:p>
    <w:p w14:paraId="4DA5BB6A" w14:textId="77777777" w:rsidR="00FF0E48" w:rsidRPr="00FF0E48" w:rsidRDefault="00FF0E48" w:rsidP="00FF0E48">
      <w:pPr>
        <w:pStyle w:val="NoSpacing"/>
        <w:numPr>
          <w:ilvl w:val="0"/>
          <w:numId w:val="35"/>
        </w:numPr>
        <w:spacing w:before="120"/>
        <w:ind w:left="357" w:hanging="357"/>
        <w:jc w:val="both"/>
        <w:rPr>
          <w:rStyle w:val="Normal1"/>
          <w:szCs w:val="24"/>
        </w:rPr>
      </w:pPr>
      <w:r w:rsidRPr="00E209E0">
        <w:rPr>
          <w:rStyle w:val="Normal1"/>
          <w:szCs w:val="24"/>
        </w:rPr>
        <w:t xml:space="preserve">The GBEP initiative leveraged projects </w:t>
      </w:r>
      <w:r>
        <w:rPr>
          <w:rStyle w:val="Normal1"/>
          <w:szCs w:val="24"/>
        </w:rPr>
        <w:t xml:space="preserve">and activities </w:t>
      </w:r>
      <w:r w:rsidRPr="00E209E0">
        <w:rPr>
          <w:rStyle w:val="Normal1"/>
          <w:szCs w:val="24"/>
        </w:rPr>
        <w:t>providing</w:t>
      </w:r>
      <w:r>
        <w:rPr>
          <w:rStyle w:val="Normal1"/>
          <w:b/>
          <w:szCs w:val="24"/>
        </w:rPr>
        <w:t xml:space="preserve"> policy recommendations on bioenergy sustainability to more than 40 countries.</w:t>
      </w:r>
    </w:p>
    <w:p w14:paraId="53BBB85B" w14:textId="297F63B5" w:rsidR="00FF0E48" w:rsidRPr="00FF0E48" w:rsidRDefault="00FF0E48" w:rsidP="00FF0E48">
      <w:pPr>
        <w:pStyle w:val="NoSpacing"/>
        <w:numPr>
          <w:ilvl w:val="0"/>
          <w:numId w:val="35"/>
        </w:numPr>
        <w:spacing w:before="120"/>
        <w:ind w:left="357" w:hanging="357"/>
        <w:jc w:val="both"/>
        <w:rPr>
          <w:rStyle w:val="Normal1"/>
          <w:szCs w:val="24"/>
        </w:rPr>
      </w:pPr>
      <w:r w:rsidRPr="00FF0E48">
        <w:rPr>
          <w:rStyle w:val="Normal1"/>
          <w:rFonts w:cstheme="minorHAnsi"/>
          <w:b/>
        </w:rPr>
        <w:t>GBEP has been pioneering</w:t>
      </w:r>
      <w:r w:rsidRPr="00FF0E48">
        <w:rPr>
          <w:rStyle w:val="Normal1"/>
          <w:rFonts w:cstheme="minorHAnsi"/>
        </w:rPr>
        <w:t xml:space="preserve"> </w:t>
      </w:r>
      <w:r w:rsidRPr="00FF0E48">
        <w:rPr>
          <w:rStyle w:val="Normal1"/>
          <w:rFonts w:cstheme="minorHAnsi"/>
          <w:b/>
        </w:rPr>
        <w:t>in setting the international stage on sustainable bioenergy</w:t>
      </w:r>
      <w:r w:rsidRPr="00FF0E48">
        <w:rPr>
          <w:rStyle w:val="Normal1"/>
          <w:rFonts w:cstheme="minorHAnsi"/>
        </w:rPr>
        <w:t xml:space="preserve"> by developing tools to guide sustainability assessment, supporting countries with training in various bioenergy related thematic areas</w:t>
      </w:r>
      <w:r w:rsidR="00040B0A">
        <w:rPr>
          <w:rStyle w:val="Normal1"/>
          <w:rFonts w:cstheme="minorHAnsi"/>
        </w:rPr>
        <w:t xml:space="preserve"> including </w:t>
      </w:r>
      <w:r>
        <w:rPr>
          <w:rStyle w:val="Normal1"/>
          <w:rFonts w:cstheme="minorHAnsi"/>
        </w:rPr>
        <w:t xml:space="preserve">to transitioning from traditional to more modern use of bioenergy, </w:t>
      </w:r>
      <w:r w:rsidRPr="00FF0E48">
        <w:rPr>
          <w:rStyle w:val="Normal1"/>
          <w:rFonts w:cstheme="minorHAnsi"/>
        </w:rPr>
        <w:t xml:space="preserve">as well as with relevant policy support actions. </w:t>
      </w:r>
    </w:p>
    <w:p w14:paraId="5D421F12" w14:textId="67F912CA" w:rsidR="00FF0E48" w:rsidRPr="00F83779" w:rsidRDefault="00FF0E48" w:rsidP="009463CD">
      <w:pPr>
        <w:pStyle w:val="NoSpacing"/>
        <w:numPr>
          <w:ilvl w:val="0"/>
          <w:numId w:val="35"/>
        </w:numPr>
        <w:spacing w:before="120"/>
        <w:ind w:left="357" w:hanging="357"/>
        <w:jc w:val="both"/>
        <w:rPr>
          <w:rStyle w:val="Normal1"/>
          <w:szCs w:val="24"/>
        </w:rPr>
      </w:pPr>
      <w:r w:rsidRPr="00520C8D">
        <w:rPr>
          <w:rStyle w:val="Normal1"/>
          <w:rFonts w:cstheme="minorHAnsi"/>
        </w:rPr>
        <w:t xml:space="preserve">In the last sixteen years GBEP </w:t>
      </w:r>
      <w:r w:rsidR="00520C8D" w:rsidRPr="00520C8D">
        <w:rPr>
          <w:rStyle w:val="Normal1"/>
          <w:rFonts w:cstheme="minorHAnsi"/>
        </w:rPr>
        <w:t xml:space="preserve">has been leading </w:t>
      </w:r>
      <w:r w:rsidRPr="00520C8D">
        <w:rPr>
          <w:rStyle w:val="Normal1"/>
          <w:rFonts w:cstheme="minorHAnsi"/>
        </w:rPr>
        <w:t xml:space="preserve">intense </w:t>
      </w:r>
      <w:r w:rsidR="00520C8D" w:rsidRPr="00520C8D">
        <w:rPr>
          <w:rStyle w:val="Normal1"/>
          <w:rFonts w:cstheme="minorHAnsi"/>
        </w:rPr>
        <w:t xml:space="preserve">international </w:t>
      </w:r>
      <w:r w:rsidRPr="00520C8D">
        <w:rPr>
          <w:rStyle w:val="Normal1"/>
          <w:rFonts w:cstheme="minorHAnsi"/>
        </w:rPr>
        <w:t>debate about bioenergy</w:t>
      </w:r>
      <w:r w:rsidR="00520C8D" w:rsidRPr="00520C8D">
        <w:rPr>
          <w:rStyle w:val="Normal1"/>
          <w:rFonts w:cstheme="minorHAnsi"/>
        </w:rPr>
        <w:t xml:space="preserve"> and its role</w:t>
      </w:r>
      <w:r w:rsidR="00520C8D" w:rsidRPr="00520C8D">
        <w:rPr>
          <w:rStyle w:val="Normal1"/>
          <w:rFonts w:cstheme="minorHAnsi"/>
          <w:szCs w:val="24"/>
        </w:rPr>
        <w:t xml:space="preserve"> for sustainable development, climate change mitigation, and food and energy security.</w:t>
      </w:r>
      <w:r w:rsidR="00520C8D" w:rsidRPr="00520C8D">
        <w:rPr>
          <w:rStyle w:val="Normal1"/>
          <w:rFonts w:cstheme="minorHAnsi"/>
        </w:rPr>
        <w:t xml:space="preserve"> Finally, today, also thanks to the tirelessly work of GBEP, </w:t>
      </w:r>
      <w:r w:rsidR="00520C8D" w:rsidRPr="00F227AF">
        <w:rPr>
          <w:rStyle w:val="Normal1"/>
          <w:rFonts w:cstheme="minorHAnsi"/>
          <w:b/>
        </w:rPr>
        <w:t>b</w:t>
      </w:r>
      <w:r w:rsidRPr="00F227AF">
        <w:rPr>
          <w:rStyle w:val="Normal1"/>
          <w:rFonts w:cstheme="minorHAnsi"/>
          <w:b/>
        </w:rPr>
        <w:t>ioenergy has a recognized role to play</w:t>
      </w:r>
      <w:r w:rsidRPr="00520C8D">
        <w:rPr>
          <w:rStyle w:val="Normal1"/>
          <w:rFonts w:cstheme="minorHAnsi"/>
        </w:rPr>
        <w:t xml:space="preserve"> (</w:t>
      </w:r>
      <w:hyperlink r:id="rId14" w:history="1">
        <w:r w:rsidRPr="00520C8D">
          <w:rPr>
            <w:rStyle w:val="Hyperlink"/>
            <w:rFonts w:cstheme="minorHAnsi"/>
          </w:rPr>
          <w:t>IRENA 2022</w:t>
        </w:r>
      </w:hyperlink>
      <w:r w:rsidRPr="00520C8D">
        <w:rPr>
          <w:rStyle w:val="Normal1"/>
          <w:rFonts w:cstheme="minorHAnsi"/>
        </w:rPr>
        <w:t>) and it is projected to almost double by 2050 compared with 2020 (</w:t>
      </w:r>
      <w:hyperlink r:id="rId15" w:history="1">
        <w:r w:rsidRPr="00520C8D">
          <w:rPr>
            <w:rStyle w:val="Hyperlink"/>
            <w:rFonts w:cstheme="minorHAnsi"/>
          </w:rPr>
          <w:t>IEA, 2021</w:t>
        </w:r>
      </w:hyperlink>
      <w:r w:rsidRPr="00520C8D">
        <w:rPr>
          <w:rStyle w:val="Hyperlink"/>
          <w:rFonts w:cstheme="minorHAnsi"/>
        </w:rPr>
        <w:t>)</w:t>
      </w:r>
      <w:r w:rsidRPr="00520C8D">
        <w:rPr>
          <w:rStyle w:val="Normal1"/>
          <w:rFonts w:cstheme="minorHAnsi"/>
        </w:rPr>
        <w:t xml:space="preserve">. </w:t>
      </w:r>
      <w:r w:rsidR="00F83779">
        <w:rPr>
          <w:rStyle w:val="Normal1"/>
          <w:rFonts w:cstheme="minorHAnsi"/>
        </w:rPr>
        <w:t xml:space="preserve">In this context, GBEP has </w:t>
      </w:r>
      <w:r w:rsidR="00F227AF">
        <w:rPr>
          <w:rStyle w:val="Normal1"/>
          <w:rFonts w:cstheme="minorHAnsi"/>
        </w:rPr>
        <w:t xml:space="preserve">an even stronger </w:t>
      </w:r>
      <w:r w:rsidR="00F83779">
        <w:rPr>
          <w:rStyle w:val="Normal1"/>
          <w:rFonts w:cstheme="minorHAnsi"/>
        </w:rPr>
        <w:t>recognized role to play</w:t>
      </w:r>
      <w:r w:rsidR="001F4342">
        <w:rPr>
          <w:rStyle w:val="Normal1"/>
          <w:rFonts w:cstheme="minorHAnsi"/>
        </w:rPr>
        <w:t xml:space="preserve"> to support sustainable bioenergy for net zero growth</w:t>
      </w:r>
      <w:r w:rsidR="00F83779">
        <w:rPr>
          <w:rStyle w:val="Normal1"/>
          <w:rFonts w:cstheme="minorHAnsi"/>
        </w:rPr>
        <w:t>.</w:t>
      </w:r>
    </w:p>
    <w:p w14:paraId="3D8F13D0" w14:textId="548CED2B" w:rsidR="006D152D" w:rsidRDefault="00AA5F41" w:rsidP="00F227AF">
      <w:pPr>
        <w:pStyle w:val="NoSpacing"/>
        <w:numPr>
          <w:ilvl w:val="0"/>
          <w:numId w:val="35"/>
        </w:numPr>
        <w:spacing w:before="120" w:after="120"/>
        <w:ind w:left="357" w:hanging="357"/>
        <w:jc w:val="both"/>
        <w:rPr>
          <w:rStyle w:val="Normal1"/>
          <w:szCs w:val="24"/>
        </w:rPr>
      </w:pPr>
      <w:r w:rsidRPr="00F227AF">
        <w:rPr>
          <w:rStyle w:val="Normal1"/>
          <w:b/>
          <w:szCs w:val="24"/>
        </w:rPr>
        <w:t xml:space="preserve">GBEP </w:t>
      </w:r>
      <w:r w:rsidR="00F83779" w:rsidRPr="00F227AF">
        <w:rPr>
          <w:rStyle w:val="Normal1"/>
          <w:b/>
          <w:szCs w:val="24"/>
        </w:rPr>
        <w:t>continues receiving r</w:t>
      </w:r>
      <w:r w:rsidR="006D152D" w:rsidRPr="00F227AF">
        <w:rPr>
          <w:rStyle w:val="Normal1"/>
          <w:b/>
          <w:szCs w:val="24"/>
        </w:rPr>
        <w:t>equests of support</w:t>
      </w:r>
      <w:r w:rsidR="006D152D" w:rsidRPr="00F83779">
        <w:rPr>
          <w:rStyle w:val="Normal1"/>
          <w:szCs w:val="24"/>
        </w:rPr>
        <w:t xml:space="preserve"> from </w:t>
      </w:r>
      <w:r w:rsidR="00F227AF">
        <w:rPr>
          <w:rStyle w:val="Normal1"/>
          <w:szCs w:val="24"/>
        </w:rPr>
        <w:t xml:space="preserve">GBEP member </w:t>
      </w:r>
      <w:r w:rsidR="006D152D" w:rsidRPr="00F83779">
        <w:rPr>
          <w:rStyle w:val="Normal1"/>
          <w:szCs w:val="24"/>
        </w:rPr>
        <w:t>countries</w:t>
      </w:r>
      <w:r w:rsidR="00F227AF">
        <w:rPr>
          <w:rStyle w:val="Normal1"/>
          <w:szCs w:val="24"/>
        </w:rPr>
        <w:t xml:space="preserve"> and beyond,</w:t>
      </w:r>
      <w:r w:rsidR="006D152D" w:rsidRPr="00F83779">
        <w:rPr>
          <w:rStyle w:val="Normal1"/>
          <w:szCs w:val="24"/>
        </w:rPr>
        <w:t xml:space="preserve"> to hold trainings on sustainable bioenergy</w:t>
      </w:r>
      <w:r w:rsidR="00F83779">
        <w:rPr>
          <w:rStyle w:val="Normal1"/>
          <w:szCs w:val="24"/>
        </w:rPr>
        <w:t xml:space="preserve">, </w:t>
      </w:r>
      <w:r w:rsidR="006D152D" w:rsidRPr="00F83779">
        <w:rPr>
          <w:rStyle w:val="Normal1"/>
          <w:szCs w:val="24"/>
        </w:rPr>
        <w:t>to monitor the sustainability of national bioenergy value chains with a view to improve them with appropriate policies</w:t>
      </w:r>
      <w:r w:rsidR="00F227AF">
        <w:rPr>
          <w:rStyle w:val="Normal1"/>
          <w:szCs w:val="24"/>
        </w:rPr>
        <w:t>, and to support countries in transitioning form traditional to more modern use of bioenergy</w:t>
      </w:r>
      <w:r w:rsidR="006D152D" w:rsidRPr="00F83779">
        <w:rPr>
          <w:rStyle w:val="Normal1"/>
          <w:szCs w:val="24"/>
        </w:rPr>
        <w:t>.</w:t>
      </w:r>
    </w:p>
    <w:p w14:paraId="3D736BA7" w14:textId="35183744" w:rsidR="001F4342" w:rsidRPr="00F83779" w:rsidRDefault="001F4342" w:rsidP="00F227AF">
      <w:pPr>
        <w:pStyle w:val="NoSpacing"/>
        <w:numPr>
          <w:ilvl w:val="0"/>
          <w:numId w:val="35"/>
        </w:numPr>
        <w:spacing w:before="120" w:after="120"/>
        <w:ind w:left="357" w:hanging="357"/>
        <w:jc w:val="both"/>
        <w:rPr>
          <w:rStyle w:val="Normal1"/>
          <w:szCs w:val="24"/>
        </w:rPr>
      </w:pPr>
      <w:r w:rsidRPr="001F4342">
        <w:rPr>
          <w:rStyle w:val="Normal1"/>
          <w:szCs w:val="24"/>
        </w:rPr>
        <w:t xml:space="preserve">GBEP continues receiving requests to join important international conferences to share its views and </w:t>
      </w:r>
      <w:r>
        <w:rPr>
          <w:rStyle w:val="Normal1"/>
          <w:szCs w:val="24"/>
        </w:rPr>
        <w:t xml:space="preserve">16 year </w:t>
      </w:r>
      <w:r w:rsidRPr="001F4342">
        <w:rPr>
          <w:rStyle w:val="Normal1"/>
          <w:szCs w:val="24"/>
        </w:rPr>
        <w:t>experience on sustainable bioenergy</w:t>
      </w:r>
      <w:r>
        <w:rPr>
          <w:rStyle w:val="Normal1"/>
          <w:szCs w:val="24"/>
        </w:rPr>
        <w:t>,</w:t>
      </w:r>
      <w:r w:rsidRPr="001F4342">
        <w:rPr>
          <w:rStyle w:val="Normal1"/>
          <w:szCs w:val="24"/>
        </w:rPr>
        <w:t xml:space="preserve"> with a view</w:t>
      </w:r>
      <w:r>
        <w:rPr>
          <w:rStyle w:val="Normal1"/>
          <w:b/>
          <w:szCs w:val="24"/>
        </w:rPr>
        <w:t xml:space="preserve"> to contribute to a global sustainability governance of bioenergy.</w:t>
      </w:r>
    </w:p>
    <w:p w14:paraId="72E3D7F8" w14:textId="777A60D0" w:rsidR="006D152D" w:rsidRDefault="006D152D" w:rsidP="00AA5F41">
      <w:pPr>
        <w:pStyle w:val="ListParagraph"/>
        <w:spacing w:after="120"/>
        <w:ind w:left="360" w:right="-24"/>
        <w:jc w:val="both"/>
        <w:rPr>
          <w:rStyle w:val="Normal1"/>
        </w:rPr>
      </w:pPr>
    </w:p>
    <w:p w14:paraId="2CE0F836" w14:textId="77777777" w:rsidR="006842EB" w:rsidRPr="006D152D" w:rsidRDefault="006842EB" w:rsidP="00AA5F41">
      <w:pPr>
        <w:pStyle w:val="ListParagraph"/>
        <w:spacing w:after="120"/>
        <w:ind w:left="360" w:right="-24"/>
        <w:jc w:val="both"/>
        <w:rPr>
          <w:rStyle w:val="Normal1"/>
        </w:rPr>
      </w:pPr>
    </w:p>
    <w:p w14:paraId="253FF4F6" w14:textId="178FFE0A" w:rsidR="00C15BCB" w:rsidRPr="006842EB" w:rsidRDefault="006842EB" w:rsidP="006842EB">
      <w:pPr>
        <w:pStyle w:val="NoSpacing"/>
        <w:pBdr>
          <w:top w:val="single" w:sz="4" w:space="1" w:color="auto"/>
          <w:left w:val="single" w:sz="4" w:space="4" w:color="auto"/>
          <w:bottom w:val="single" w:sz="4" w:space="1" w:color="auto"/>
          <w:right w:val="single" w:sz="4" w:space="4" w:color="auto"/>
        </w:pBdr>
        <w:spacing w:before="120" w:after="240"/>
        <w:rPr>
          <w:rStyle w:val="Normal1"/>
          <w:b/>
          <w:szCs w:val="24"/>
        </w:rPr>
      </w:pPr>
      <w:r>
        <w:rPr>
          <w:rStyle w:val="Normal1"/>
          <w:b/>
          <w:szCs w:val="24"/>
        </w:rPr>
        <w:t>ISSUES FOR DISCUSSION</w:t>
      </w:r>
    </w:p>
    <w:p w14:paraId="751A73E0" w14:textId="793C9657" w:rsidR="008342F1" w:rsidRDefault="00C15BCB" w:rsidP="006842EB">
      <w:pPr>
        <w:pStyle w:val="NoSpacing"/>
        <w:spacing w:before="120" w:after="120"/>
        <w:jc w:val="both"/>
        <w:rPr>
          <w:rStyle w:val="Normal1"/>
          <w:szCs w:val="24"/>
        </w:rPr>
      </w:pPr>
      <w:r w:rsidRPr="00D86A33">
        <w:rPr>
          <w:rStyle w:val="Normal1"/>
          <w:b/>
          <w:szCs w:val="24"/>
        </w:rPr>
        <w:t xml:space="preserve">The current end date of the GBEP </w:t>
      </w:r>
      <w:r w:rsidR="00944975">
        <w:rPr>
          <w:rStyle w:val="Normal1"/>
          <w:b/>
          <w:szCs w:val="24"/>
        </w:rPr>
        <w:t xml:space="preserve">support </w:t>
      </w:r>
      <w:r w:rsidRPr="00D86A33">
        <w:rPr>
          <w:rStyle w:val="Normal1"/>
          <w:b/>
          <w:szCs w:val="24"/>
        </w:rPr>
        <w:t>project is 31</w:t>
      </w:r>
      <w:r>
        <w:rPr>
          <w:rStyle w:val="Normal1"/>
          <w:b/>
          <w:szCs w:val="24"/>
        </w:rPr>
        <w:t xml:space="preserve"> December </w:t>
      </w:r>
      <w:r w:rsidRPr="00D86A33">
        <w:rPr>
          <w:rStyle w:val="Normal1"/>
          <w:b/>
          <w:szCs w:val="24"/>
        </w:rPr>
        <w:t>202</w:t>
      </w:r>
      <w:r>
        <w:rPr>
          <w:rStyle w:val="Normal1"/>
          <w:b/>
          <w:szCs w:val="24"/>
        </w:rPr>
        <w:t>2</w:t>
      </w:r>
      <w:r>
        <w:rPr>
          <w:rStyle w:val="Normal1"/>
          <w:szCs w:val="24"/>
        </w:rPr>
        <w:t xml:space="preserve">, in light of remaining funds. </w:t>
      </w:r>
    </w:p>
    <w:p w14:paraId="57767815" w14:textId="674FD3CA" w:rsidR="008342F1" w:rsidRDefault="00C15BCB" w:rsidP="00944975">
      <w:pPr>
        <w:pStyle w:val="NoSpacing"/>
        <w:numPr>
          <w:ilvl w:val="0"/>
          <w:numId w:val="41"/>
        </w:numPr>
        <w:spacing w:before="120" w:after="120"/>
        <w:ind w:left="360"/>
        <w:jc w:val="both"/>
        <w:rPr>
          <w:rStyle w:val="Normal1"/>
          <w:szCs w:val="24"/>
        </w:rPr>
      </w:pPr>
      <w:r>
        <w:rPr>
          <w:rStyle w:val="Normal1"/>
          <w:szCs w:val="24"/>
        </w:rPr>
        <w:t xml:space="preserve">How can we mobilise resources to keep the </w:t>
      </w:r>
      <w:r w:rsidR="00944975">
        <w:rPr>
          <w:rStyle w:val="Normal1"/>
          <w:szCs w:val="24"/>
        </w:rPr>
        <w:t xml:space="preserve">partnership </w:t>
      </w:r>
      <w:r>
        <w:rPr>
          <w:rStyle w:val="Normal1"/>
          <w:szCs w:val="24"/>
        </w:rPr>
        <w:t xml:space="preserve">alive? </w:t>
      </w:r>
    </w:p>
    <w:p w14:paraId="52AF2360" w14:textId="723EB9DA" w:rsidR="00C15BCB" w:rsidRDefault="00C15BCB" w:rsidP="006842EB">
      <w:pPr>
        <w:pStyle w:val="NoSpacing"/>
        <w:numPr>
          <w:ilvl w:val="0"/>
          <w:numId w:val="41"/>
        </w:numPr>
        <w:spacing w:before="120" w:after="120"/>
        <w:ind w:left="360"/>
        <w:jc w:val="both"/>
        <w:rPr>
          <w:rStyle w:val="Normal1"/>
          <w:szCs w:val="24"/>
        </w:rPr>
      </w:pPr>
      <w:r>
        <w:rPr>
          <w:rStyle w:val="Normal1"/>
          <w:szCs w:val="24"/>
        </w:rPr>
        <w:t xml:space="preserve">What opportunities exist and how can we start exploring them? </w:t>
      </w:r>
    </w:p>
    <w:p w14:paraId="6B6CC92B" w14:textId="1BE86A99" w:rsidR="008342F1" w:rsidRDefault="008342F1" w:rsidP="006842EB">
      <w:pPr>
        <w:pStyle w:val="NoSpacing"/>
        <w:numPr>
          <w:ilvl w:val="0"/>
          <w:numId w:val="41"/>
        </w:numPr>
        <w:spacing w:before="120" w:after="120"/>
        <w:ind w:left="360"/>
        <w:jc w:val="both"/>
        <w:rPr>
          <w:rStyle w:val="Normal1"/>
          <w:szCs w:val="24"/>
        </w:rPr>
      </w:pPr>
      <w:r>
        <w:rPr>
          <w:rStyle w:val="Normal1"/>
          <w:szCs w:val="24"/>
        </w:rPr>
        <w:t xml:space="preserve">What plan and roadmap </w:t>
      </w:r>
      <w:r w:rsidR="0036518A">
        <w:rPr>
          <w:rStyle w:val="Normal1"/>
          <w:szCs w:val="24"/>
        </w:rPr>
        <w:t>towards achieving this?</w:t>
      </w:r>
    </w:p>
    <w:p w14:paraId="54495174" w14:textId="2520B2B1" w:rsidR="00273767" w:rsidRDefault="00273767" w:rsidP="004D0A8D">
      <w:pPr>
        <w:pStyle w:val="NoSpacing"/>
        <w:spacing w:before="120" w:after="120"/>
        <w:rPr>
          <w:rStyle w:val="Normal1"/>
          <w:szCs w:val="24"/>
        </w:rPr>
      </w:pPr>
    </w:p>
    <w:p w14:paraId="7273ECC4" w14:textId="09C35D60" w:rsidR="00273767" w:rsidRDefault="00273767" w:rsidP="004D0A8D">
      <w:pPr>
        <w:pStyle w:val="NoSpacing"/>
        <w:spacing w:before="120" w:after="120"/>
        <w:rPr>
          <w:rStyle w:val="Normal1"/>
          <w:szCs w:val="24"/>
        </w:rPr>
      </w:pPr>
    </w:p>
    <w:p w14:paraId="26E1DADB" w14:textId="24238A3D" w:rsidR="00273767" w:rsidRDefault="00273767" w:rsidP="004D0A8D">
      <w:pPr>
        <w:pStyle w:val="NoSpacing"/>
        <w:spacing w:before="120" w:after="120"/>
        <w:rPr>
          <w:rStyle w:val="Normal1"/>
          <w:szCs w:val="24"/>
        </w:rPr>
      </w:pPr>
    </w:p>
    <w:p w14:paraId="027AF90A" w14:textId="04C2B9A2" w:rsidR="00273767" w:rsidRDefault="00273767" w:rsidP="004D0A8D">
      <w:pPr>
        <w:pStyle w:val="NoSpacing"/>
        <w:spacing w:before="120" w:after="120"/>
        <w:rPr>
          <w:rStyle w:val="Normal1"/>
          <w:szCs w:val="24"/>
        </w:rPr>
      </w:pPr>
    </w:p>
    <w:p w14:paraId="42E0C5B9" w14:textId="6A28876A" w:rsidR="00273767" w:rsidRDefault="00273767" w:rsidP="004D0A8D">
      <w:pPr>
        <w:pStyle w:val="NoSpacing"/>
        <w:spacing w:before="120" w:after="120"/>
        <w:rPr>
          <w:rStyle w:val="Normal1"/>
          <w:szCs w:val="24"/>
        </w:rPr>
      </w:pPr>
    </w:p>
    <w:p w14:paraId="2FDFD6C9" w14:textId="77777777" w:rsidR="006842EB" w:rsidRDefault="006842EB" w:rsidP="004D0A8D">
      <w:pPr>
        <w:pStyle w:val="NoSpacing"/>
        <w:spacing w:before="120" w:after="120"/>
        <w:rPr>
          <w:rStyle w:val="Normal1"/>
          <w:szCs w:val="24"/>
        </w:rPr>
      </w:pPr>
    </w:p>
    <w:p w14:paraId="0A4BC748" w14:textId="15860B81" w:rsidR="00273767" w:rsidRPr="00F83779" w:rsidRDefault="00273767" w:rsidP="00273767">
      <w:pPr>
        <w:pStyle w:val="NoSpacing"/>
        <w:spacing w:before="120" w:after="120"/>
        <w:jc w:val="right"/>
        <w:rPr>
          <w:rStyle w:val="Normal1"/>
          <w:b/>
          <w:szCs w:val="24"/>
        </w:rPr>
      </w:pPr>
      <w:r w:rsidRPr="00F83779">
        <w:rPr>
          <w:rStyle w:val="Normal1"/>
          <w:b/>
          <w:szCs w:val="24"/>
        </w:rPr>
        <w:t>ANNEX</w:t>
      </w:r>
      <w:r w:rsidR="00F83779" w:rsidRPr="00F83779">
        <w:rPr>
          <w:rStyle w:val="Normal1"/>
          <w:b/>
          <w:szCs w:val="24"/>
        </w:rPr>
        <w:t xml:space="preserve"> I</w:t>
      </w:r>
    </w:p>
    <w:p w14:paraId="32458544" w14:textId="77777777" w:rsidR="00273767" w:rsidRDefault="00273767" w:rsidP="004D0A8D">
      <w:pPr>
        <w:pStyle w:val="NoSpacing"/>
        <w:spacing w:before="120" w:after="120"/>
        <w:rPr>
          <w:rStyle w:val="Normal1"/>
          <w:szCs w:val="24"/>
        </w:rPr>
      </w:pPr>
    </w:p>
    <w:p w14:paraId="2DE6A21C" w14:textId="77355B2A" w:rsidR="003F0D68" w:rsidRDefault="003F0D68" w:rsidP="004D0A8D">
      <w:pPr>
        <w:pStyle w:val="NoSpacing"/>
        <w:spacing w:before="120" w:after="120"/>
        <w:rPr>
          <w:rStyle w:val="Normal1"/>
          <w:szCs w:val="24"/>
        </w:rPr>
      </w:pPr>
      <w:r w:rsidRPr="00273767">
        <w:rPr>
          <w:noProof/>
          <w:highlight w:val="red"/>
          <w:lang w:bidi="ar-SA"/>
        </w:rPr>
        <w:drawing>
          <wp:inline distT="0" distB="0" distL="0" distR="0" wp14:anchorId="48F704F1" wp14:editId="07A9D4F4">
            <wp:extent cx="5760085" cy="3726759"/>
            <wp:effectExtent l="0" t="0" r="12065" b="762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4F74554" w14:textId="7064CB6E" w:rsidR="003F0D68" w:rsidRDefault="003F0D68" w:rsidP="004D0A8D">
      <w:pPr>
        <w:pStyle w:val="NoSpacing"/>
        <w:spacing w:before="120" w:after="120"/>
        <w:rPr>
          <w:rStyle w:val="Normal1"/>
          <w:szCs w:val="24"/>
        </w:rPr>
      </w:pPr>
    </w:p>
    <w:p w14:paraId="65DD255B" w14:textId="77777777" w:rsidR="00F83779" w:rsidRDefault="00F83779" w:rsidP="004D0A8D">
      <w:pPr>
        <w:pStyle w:val="NoSpacing"/>
        <w:spacing w:before="120" w:after="120"/>
        <w:rPr>
          <w:rStyle w:val="Normal1"/>
          <w:szCs w:val="24"/>
        </w:rPr>
      </w:pPr>
    </w:p>
    <w:p w14:paraId="664086D9" w14:textId="7F186E02" w:rsidR="003F0D68" w:rsidRDefault="003F0D68" w:rsidP="004D0A8D">
      <w:pPr>
        <w:pStyle w:val="NoSpacing"/>
        <w:spacing w:before="120" w:after="120"/>
        <w:rPr>
          <w:rStyle w:val="Normal1"/>
          <w:szCs w:val="24"/>
        </w:rPr>
      </w:pPr>
      <w:r>
        <w:rPr>
          <w:noProof/>
          <w:lang w:bidi="ar-SA"/>
        </w:rPr>
        <w:drawing>
          <wp:inline distT="0" distB="0" distL="0" distR="0" wp14:anchorId="7F105093" wp14:editId="0E6F5D46">
            <wp:extent cx="5760085" cy="3297893"/>
            <wp:effectExtent l="0" t="0" r="12065" b="1714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7412FD2" w14:textId="2FD50E33" w:rsidR="00F83779" w:rsidRDefault="00F83779" w:rsidP="004D0A8D">
      <w:pPr>
        <w:pStyle w:val="NoSpacing"/>
        <w:spacing w:before="120" w:after="120"/>
        <w:rPr>
          <w:rStyle w:val="Normal1"/>
          <w:szCs w:val="24"/>
        </w:rPr>
      </w:pPr>
    </w:p>
    <w:p w14:paraId="52C2C3B1" w14:textId="48C58A42" w:rsidR="00F83779" w:rsidRDefault="00F83779" w:rsidP="00F83779">
      <w:pPr>
        <w:pStyle w:val="NoSpacing"/>
        <w:spacing w:before="120" w:after="120"/>
        <w:jc w:val="right"/>
        <w:rPr>
          <w:rStyle w:val="Normal1"/>
          <w:b/>
          <w:szCs w:val="24"/>
        </w:rPr>
      </w:pPr>
      <w:r w:rsidRPr="00F83779">
        <w:rPr>
          <w:rStyle w:val="Normal1"/>
          <w:b/>
          <w:szCs w:val="24"/>
        </w:rPr>
        <w:t>ANNEX II</w:t>
      </w:r>
    </w:p>
    <w:p w14:paraId="5D55DBFE" w14:textId="77777777" w:rsidR="00F83779" w:rsidRPr="00F83779" w:rsidRDefault="00F83779" w:rsidP="00F83779">
      <w:pPr>
        <w:pStyle w:val="NoSpacing"/>
        <w:spacing w:before="120" w:after="120"/>
        <w:jc w:val="right"/>
        <w:rPr>
          <w:rStyle w:val="Normal1"/>
          <w:b/>
          <w:szCs w:val="24"/>
        </w:rPr>
      </w:pPr>
    </w:p>
    <w:p w14:paraId="2E4002D4" w14:textId="7CC5B8FF" w:rsidR="00F83779" w:rsidRPr="00EF2F2D" w:rsidRDefault="00F83779" w:rsidP="00F83779">
      <w:pPr>
        <w:pStyle w:val="ListParagraph"/>
        <w:numPr>
          <w:ilvl w:val="0"/>
          <w:numId w:val="29"/>
        </w:numPr>
        <w:spacing w:before="120"/>
        <w:ind w:right="-24"/>
        <w:jc w:val="both"/>
        <w:rPr>
          <w:rStyle w:val="Normal1"/>
          <w:b/>
        </w:rPr>
      </w:pPr>
      <w:r w:rsidRPr="00EF2F2D">
        <w:rPr>
          <w:rStyle w:val="Normal1"/>
          <w:b/>
        </w:rPr>
        <w:t>GBEP</w:t>
      </w:r>
      <w:r>
        <w:rPr>
          <w:rStyle w:val="Normal1"/>
          <w:b/>
        </w:rPr>
        <w:t xml:space="preserve"> PROGRAMME OF WORK AND MAIN ACHIEVEMENTS</w:t>
      </w:r>
    </w:p>
    <w:p w14:paraId="68B94D50" w14:textId="77777777" w:rsidR="00F83779" w:rsidRPr="00EF2F2D" w:rsidRDefault="00F83779" w:rsidP="00F83779">
      <w:pPr>
        <w:pStyle w:val="Title"/>
        <w:jc w:val="both"/>
        <w:rPr>
          <w:rStyle w:val="Normal1"/>
          <w:rFonts w:asciiTheme="minorHAnsi" w:eastAsiaTheme="minorEastAsia" w:hAnsiTheme="minorHAnsi"/>
          <w:b w:val="0"/>
          <w:bCs w:val="0"/>
          <w:i/>
          <w:kern w:val="0"/>
          <w:sz w:val="24"/>
          <w:szCs w:val="24"/>
          <w:u w:val="single"/>
        </w:rPr>
      </w:pPr>
      <w:r w:rsidRPr="003852CB">
        <w:rPr>
          <w:rStyle w:val="Normal1"/>
          <w:rFonts w:asciiTheme="minorHAnsi" w:eastAsiaTheme="minorEastAsia" w:hAnsiTheme="minorHAnsi"/>
          <w:b w:val="0"/>
          <w:bCs w:val="0"/>
          <w:i/>
          <w:kern w:val="0"/>
          <w:sz w:val="24"/>
          <w:szCs w:val="24"/>
        </w:rPr>
        <w:t xml:space="preserve">1.  </w:t>
      </w:r>
      <w:r w:rsidRPr="00EF2F2D">
        <w:rPr>
          <w:rStyle w:val="Normal1"/>
          <w:rFonts w:asciiTheme="minorHAnsi" w:eastAsiaTheme="minorEastAsia" w:hAnsiTheme="minorHAnsi"/>
          <w:b w:val="0"/>
          <w:bCs w:val="0"/>
          <w:i/>
          <w:kern w:val="0"/>
          <w:sz w:val="24"/>
          <w:szCs w:val="24"/>
          <w:u w:val="single"/>
        </w:rPr>
        <w:t>SUSTAINABILITY</w:t>
      </w:r>
    </w:p>
    <w:p w14:paraId="27D7EF26" w14:textId="77777777" w:rsidR="00F83779" w:rsidRDefault="00F83779" w:rsidP="00F83779">
      <w:pPr>
        <w:pStyle w:val="NoSpacing"/>
        <w:spacing w:before="120" w:after="120"/>
        <w:jc w:val="both"/>
        <w:rPr>
          <w:rStyle w:val="Normal1"/>
          <w:szCs w:val="24"/>
        </w:rPr>
      </w:pPr>
      <w:r w:rsidRPr="00221BF3">
        <w:rPr>
          <w:rStyle w:val="Normal1"/>
          <w:szCs w:val="24"/>
        </w:rPr>
        <w:t xml:space="preserve">GBEP has </w:t>
      </w:r>
      <w:r>
        <w:rPr>
          <w:rStyle w:val="Normal1"/>
          <w:szCs w:val="24"/>
        </w:rPr>
        <w:t xml:space="preserve">developed the most widely recognized </w:t>
      </w:r>
      <w:hyperlink r:id="rId18" w:history="1">
        <w:r w:rsidRPr="00D7036E">
          <w:rPr>
            <w:rStyle w:val="Hyperlink"/>
            <w:b/>
            <w:bCs/>
            <w:i/>
            <w:iCs/>
            <w:szCs w:val="24"/>
          </w:rPr>
          <w:t>set of 24 voluntary indicators</w:t>
        </w:r>
      </w:hyperlink>
      <w:r w:rsidRPr="00591C20">
        <w:rPr>
          <w:rStyle w:val="Normal1"/>
          <w:b/>
          <w:bCs/>
          <w:i/>
          <w:iCs/>
          <w:szCs w:val="24"/>
        </w:rPr>
        <w:t xml:space="preserve"> </w:t>
      </w:r>
      <w:r>
        <w:rPr>
          <w:rStyle w:val="Normal1"/>
          <w:b/>
          <w:bCs/>
          <w:i/>
          <w:iCs/>
          <w:szCs w:val="24"/>
        </w:rPr>
        <w:t>to monitor</w:t>
      </w:r>
      <w:r w:rsidRPr="00591C20">
        <w:rPr>
          <w:rStyle w:val="Normal1"/>
          <w:b/>
          <w:bCs/>
          <w:i/>
          <w:iCs/>
          <w:szCs w:val="24"/>
        </w:rPr>
        <w:t xml:space="preserve"> the sustainability of all forms of bioenergy</w:t>
      </w:r>
      <w:r w:rsidRPr="00221BF3">
        <w:rPr>
          <w:rStyle w:val="Normal1"/>
          <w:szCs w:val="24"/>
        </w:rPr>
        <w:t>. These indicators are</w:t>
      </w:r>
      <w:r>
        <w:rPr>
          <w:rStyle w:val="Normal1"/>
          <w:szCs w:val="24"/>
        </w:rPr>
        <w:t xml:space="preserve"> a tool to monitor the sustainability of any bioenergy value chain (under the environmental, social and economic point of view) with the objective to </w:t>
      </w:r>
      <w:r w:rsidRPr="00221BF3">
        <w:rPr>
          <w:rStyle w:val="Normal1"/>
          <w:szCs w:val="24"/>
        </w:rPr>
        <w:t>inform decision making and facilitat</w:t>
      </w:r>
      <w:r>
        <w:rPr>
          <w:rStyle w:val="Normal1"/>
          <w:szCs w:val="24"/>
        </w:rPr>
        <w:t>e</w:t>
      </w:r>
      <w:r w:rsidRPr="00221BF3">
        <w:rPr>
          <w:rStyle w:val="Normal1"/>
          <w:szCs w:val="24"/>
        </w:rPr>
        <w:t xml:space="preserve"> the sustainable development of bioenergy. The indicators take a holistic approach to assessing many important aspects of the intersection of bioenergy and sustainability, including greenhouse gas emissions, biological diversity, food security, access to energy, economic development and energy security.</w:t>
      </w:r>
    </w:p>
    <w:p w14:paraId="21FE4CAA" w14:textId="77777777" w:rsidR="00F83779" w:rsidRDefault="00F83779" w:rsidP="00F83779">
      <w:pPr>
        <w:pStyle w:val="NoSpacing"/>
        <w:spacing w:before="120" w:after="120"/>
        <w:jc w:val="both"/>
        <w:rPr>
          <w:rStyle w:val="Normal1"/>
          <w:szCs w:val="24"/>
        </w:rPr>
      </w:pPr>
      <w:r w:rsidRPr="003852CB">
        <w:rPr>
          <w:rStyle w:val="Normal1"/>
          <w:szCs w:val="24"/>
        </w:rPr>
        <w:t xml:space="preserve">As of </w:t>
      </w:r>
      <w:r>
        <w:rPr>
          <w:rStyle w:val="Normal1"/>
          <w:szCs w:val="24"/>
        </w:rPr>
        <w:t xml:space="preserve">2022, the GBEP indicators have supported </w:t>
      </w:r>
      <w:hyperlink r:id="rId19" w:history="1">
        <w:r w:rsidRPr="00D7036E">
          <w:rPr>
            <w:rStyle w:val="Hyperlink"/>
            <w:szCs w:val="24"/>
          </w:rPr>
          <w:t>fourteen countries</w:t>
        </w:r>
      </w:hyperlink>
      <w:r>
        <w:rPr>
          <w:rStyle w:val="Normal1"/>
          <w:szCs w:val="24"/>
        </w:rPr>
        <w:t xml:space="preserve"> to monitor and improve  their bioenergy value chains</w:t>
      </w:r>
      <w:r w:rsidRPr="003852CB">
        <w:rPr>
          <w:rStyle w:val="Normal1"/>
          <w:szCs w:val="24"/>
        </w:rPr>
        <w:t xml:space="preserve"> (i.e. Argentina, Colombia, Egypt, Ethiopia, Germany, Ghana, Indonesia, Italy, Jamaica, Japan, Kenya, Netherlands, Paraguay</w:t>
      </w:r>
      <w:r>
        <w:rPr>
          <w:rStyle w:val="Normal1"/>
          <w:szCs w:val="24"/>
        </w:rPr>
        <w:t xml:space="preserve"> and Viet Nam) and in additional</w:t>
      </w:r>
      <w:r w:rsidRPr="003852CB">
        <w:rPr>
          <w:rStyle w:val="Normal1"/>
          <w:szCs w:val="24"/>
        </w:rPr>
        <w:t xml:space="preserve"> countries </w:t>
      </w:r>
      <w:r>
        <w:rPr>
          <w:rStyle w:val="Normal1"/>
          <w:szCs w:val="24"/>
        </w:rPr>
        <w:t>are</w:t>
      </w:r>
      <w:r w:rsidRPr="003852CB">
        <w:rPr>
          <w:rStyle w:val="Normal1"/>
          <w:szCs w:val="24"/>
        </w:rPr>
        <w:t xml:space="preserve"> in the process </w:t>
      </w:r>
      <w:r>
        <w:rPr>
          <w:rStyle w:val="Normal1"/>
          <w:szCs w:val="24"/>
        </w:rPr>
        <w:t>to be implemented</w:t>
      </w:r>
      <w:r w:rsidRPr="003852CB">
        <w:rPr>
          <w:rStyle w:val="Normal1"/>
          <w:szCs w:val="24"/>
        </w:rPr>
        <w:t xml:space="preserve">. </w:t>
      </w:r>
    </w:p>
    <w:p w14:paraId="33CFD0A7" w14:textId="77777777" w:rsidR="00F83779" w:rsidRDefault="00F83779" w:rsidP="00F83779">
      <w:pPr>
        <w:pStyle w:val="NoSpacing"/>
        <w:spacing w:before="120" w:after="120"/>
        <w:jc w:val="both"/>
        <w:rPr>
          <w:rStyle w:val="Normal1"/>
          <w:szCs w:val="24"/>
        </w:rPr>
      </w:pPr>
      <w:r>
        <w:rPr>
          <w:rStyle w:val="Normal1"/>
          <w:szCs w:val="24"/>
        </w:rPr>
        <w:t xml:space="preserve">Still within the sustainability approach, it is worth reminding that back in 2009 </w:t>
      </w:r>
      <w:r w:rsidRPr="00040B0A">
        <w:rPr>
          <w:rStyle w:val="Normal1"/>
          <w:szCs w:val="24"/>
        </w:rPr>
        <w:t xml:space="preserve">GBEP developed a </w:t>
      </w:r>
      <w:r>
        <w:rPr>
          <w:rStyle w:val="Normal1"/>
          <w:szCs w:val="24"/>
        </w:rPr>
        <w:t>“</w:t>
      </w:r>
      <w:hyperlink r:id="rId20" w:history="1">
        <w:r w:rsidRPr="00040B0A">
          <w:rPr>
            <w:rStyle w:val="Hyperlink"/>
            <w:szCs w:val="24"/>
          </w:rPr>
          <w:t>Common methodological framework</w:t>
        </w:r>
      </w:hyperlink>
      <w:r>
        <w:rPr>
          <w:rStyle w:val="Normal1"/>
          <w:szCs w:val="24"/>
        </w:rPr>
        <w:t>”</w:t>
      </w:r>
      <w:r w:rsidRPr="00040B0A">
        <w:rPr>
          <w:rStyle w:val="Normal1"/>
          <w:szCs w:val="24"/>
        </w:rPr>
        <w:t xml:space="preserve"> for use </w:t>
      </w:r>
      <w:r>
        <w:rPr>
          <w:rStyle w:val="Normal1"/>
          <w:szCs w:val="24"/>
        </w:rPr>
        <w:t>of policy making and stakeholders when</w:t>
      </w:r>
      <w:r w:rsidRPr="00040B0A">
        <w:rPr>
          <w:rStyle w:val="Normal1"/>
          <w:szCs w:val="24"/>
        </w:rPr>
        <w:t xml:space="preserve"> measuring and reporting greenhouse gas (GHG) emissions reductions from bioenergy. </w:t>
      </w:r>
    </w:p>
    <w:p w14:paraId="468467AA" w14:textId="77777777" w:rsidR="00F83779" w:rsidRDefault="00F83779" w:rsidP="00F83779">
      <w:pPr>
        <w:pStyle w:val="StyleAfter0pt"/>
        <w:spacing w:after="360" w:line="240" w:lineRule="auto"/>
        <w:rPr>
          <w:rStyle w:val="Normal1"/>
          <w:rFonts w:asciiTheme="minorHAnsi" w:eastAsiaTheme="minorEastAsia" w:hAnsiTheme="minorHAnsi" w:cs="Times New Roman"/>
          <w:sz w:val="24"/>
          <w:szCs w:val="24"/>
          <w:lang w:bidi="en-US"/>
        </w:rPr>
      </w:pPr>
    </w:p>
    <w:p w14:paraId="6089CC28" w14:textId="77777777" w:rsidR="00F83779" w:rsidRPr="006D152D" w:rsidRDefault="00F83779" w:rsidP="00F83779">
      <w:pPr>
        <w:spacing w:after="120"/>
        <w:jc w:val="both"/>
        <w:rPr>
          <w:rStyle w:val="Normal1"/>
          <w:i/>
          <w:u w:val="single"/>
        </w:rPr>
      </w:pPr>
      <w:r w:rsidRPr="00975710">
        <w:rPr>
          <w:rStyle w:val="Normal1"/>
          <w:i/>
        </w:rPr>
        <w:t xml:space="preserve">2.  </w:t>
      </w:r>
      <w:r w:rsidRPr="006D152D">
        <w:rPr>
          <w:rStyle w:val="Normal1"/>
          <w:i/>
          <w:u w:val="single"/>
        </w:rPr>
        <w:t>CAPACITY BUILDING</w:t>
      </w:r>
    </w:p>
    <w:p w14:paraId="216A0DD9" w14:textId="77777777" w:rsidR="00F83779" w:rsidRPr="006D152D" w:rsidRDefault="00F83779" w:rsidP="00F83779">
      <w:pPr>
        <w:spacing w:after="120"/>
        <w:ind w:right="-23"/>
        <w:jc w:val="both"/>
        <w:rPr>
          <w:rFonts w:cstheme="minorHAnsi"/>
        </w:rPr>
      </w:pPr>
      <w:r w:rsidRPr="006D152D">
        <w:rPr>
          <w:rFonts w:cstheme="minorHAnsi"/>
        </w:rPr>
        <w:t xml:space="preserve">GBEP has been focusing on </w:t>
      </w:r>
      <w:hyperlink r:id="rId21" w:history="1">
        <w:r w:rsidRPr="00D7036E">
          <w:rPr>
            <w:rStyle w:val="Hyperlink"/>
            <w:rFonts w:cstheme="minorHAnsi"/>
            <w:b/>
            <w:i/>
          </w:rPr>
          <w:t>capacity development activities</w:t>
        </w:r>
      </w:hyperlink>
      <w:r w:rsidRPr="006D152D">
        <w:rPr>
          <w:rFonts w:cstheme="minorHAnsi"/>
        </w:rPr>
        <w:t xml:space="preserve"> with a view to raise awareness of the benefits of sustainable modern bioenergy and support related policy making. Amongst the main achievements:  </w:t>
      </w:r>
    </w:p>
    <w:p w14:paraId="7CA20636" w14:textId="77777777" w:rsidR="00F83779" w:rsidRPr="006D152D" w:rsidRDefault="00F83779" w:rsidP="00F83779">
      <w:pPr>
        <w:pStyle w:val="ListParagraph"/>
        <w:numPr>
          <w:ilvl w:val="0"/>
          <w:numId w:val="15"/>
        </w:numPr>
        <w:spacing w:after="120"/>
        <w:ind w:left="284" w:right="-24" w:hanging="284"/>
        <w:contextualSpacing w:val="0"/>
        <w:jc w:val="both"/>
        <w:rPr>
          <w:rFonts w:cstheme="minorHAnsi"/>
        </w:rPr>
      </w:pPr>
      <w:r w:rsidRPr="006D152D">
        <w:rPr>
          <w:rFonts w:cstheme="minorHAnsi"/>
        </w:rPr>
        <w:t xml:space="preserve">GBEP supported the development of a </w:t>
      </w:r>
      <w:hyperlink r:id="rId22" w:history="1">
        <w:r w:rsidRPr="00D7036E">
          <w:rPr>
            <w:rStyle w:val="Hyperlink"/>
            <w:rFonts w:cstheme="minorHAnsi"/>
            <w:i/>
          </w:rPr>
          <w:t xml:space="preserve">Regional Strategy on Bioenergy </w:t>
        </w:r>
        <w:r w:rsidRPr="00D7036E">
          <w:rPr>
            <w:rStyle w:val="Hyperlink"/>
            <w:rFonts w:cstheme="minorHAnsi"/>
            <w:bCs/>
            <w:i/>
          </w:rPr>
          <w:t>in the Economic Community of West African States (ECOWAS)</w:t>
        </w:r>
      </w:hyperlink>
      <w:r w:rsidRPr="006D152D">
        <w:rPr>
          <w:rFonts w:cstheme="minorHAnsi"/>
          <w:bCs/>
          <w:i/>
        </w:rPr>
        <w:t xml:space="preserve"> </w:t>
      </w:r>
      <w:r w:rsidRPr="006D152D">
        <w:rPr>
          <w:rFonts w:cstheme="minorHAnsi"/>
          <w:bCs/>
        </w:rPr>
        <w:t xml:space="preserve">that was </w:t>
      </w:r>
      <w:r>
        <w:rPr>
          <w:rFonts w:cstheme="minorHAnsi"/>
          <w:bCs/>
        </w:rPr>
        <w:t xml:space="preserve">agreed in the context of GBEP activities, and </w:t>
      </w:r>
      <w:r w:rsidRPr="006D152D">
        <w:rPr>
          <w:rFonts w:cstheme="minorHAnsi"/>
          <w:bCs/>
        </w:rPr>
        <w:t xml:space="preserve">adopted </w:t>
      </w:r>
      <w:r w:rsidRPr="006D152D">
        <w:rPr>
          <w:rFonts w:cstheme="minorHAnsi"/>
        </w:rPr>
        <w:t>by ECOWAS Governments in 2015 as a tool to facilitate the transition from traditional bioenergy towards more modern and sustainable forms of bioenergy.</w:t>
      </w:r>
    </w:p>
    <w:p w14:paraId="6ED53149" w14:textId="77777777" w:rsidR="00F83779" w:rsidRPr="006D152D" w:rsidRDefault="00F83779" w:rsidP="00F83779">
      <w:pPr>
        <w:pStyle w:val="ListParagraph"/>
        <w:numPr>
          <w:ilvl w:val="0"/>
          <w:numId w:val="15"/>
        </w:numPr>
        <w:spacing w:after="120"/>
        <w:ind w:left="284" w:right="-24" w:hanging="284"/>
        <w:contextualSpacing w:val="0"/>
        <w:jc w:val="both"/>
        <w:rPr>
          <w:rFonts w:cstheme="minorHAnsi"/>
          <w:i/>
        </w:rPr>
      </w:pPr>
      <w:r w:rsidRPr="006D152D">
        <w:rPr>
          <w:rFonts w:cstheme="minorHAnsi"/>
          <w:bCs/>
          <w:i/>
        </w:rPr>
        <w:t xml:space="preserve">GBEP organizes </w:t>
      </w:r>
      <w:hyperlink r:id="rId23" w:history="1">
        <w:r w:rsidRPr="00D7036E">
          <w:rPr>
            <w:rStyle w:val="Hyperlink"/>
            <w:rFonts w:cstheme="minorHAnsi"/>
            <w:bCs/>
            <w:i/>
          </w:rPr>
          <w:t>Study Tours for Sustainable Bioenergy</w:t>
        </w:r>
      </w:hyperlink>
      <w:r w:rsidRPr="006D152D">
        <w:rPr>
          <w:rFonts w:cstheme="minorHAnsi"/>
          <w:i/>
        </w:rPr>
        <w:t xml:space="preserve">. </w:t>
      </w:r>
      <w:r w:rsidRPr="006D152D">
        <w:rPr>
          <w:rFonts w:cstheme="minorHAnsi"/>
        </w:rPr>
        <w:t xml:space="preserve">Eight </w:t>
      </w:r>
      <w:r w:rsidRPr="006D152D">
        <w:rPr>
          <w:rFonts w:cstheme="minorHAnsi"/>
          <w:iCs/>
        </w:rPr>
        <w:t>Bioenergy Weeks have been organized so far, every year in a different region of the world, as opportunities for scientists and officials to learn from good examples in the sustainable production and use of bioenergy to guide bioenergy policies. The 2022 edition is planned to take place in Latin America.</w:t>
      </w:r>
    </w:p>
    <w:p w14:paraId="03D0BE7A" w14:textId="77777777" w:rsidR="00F83779" w:rsidRPr="006D152D" w:rsidRDefault="00F83779" w:rsidP="00206B75">
      <w:pPr>
        <w:pStyle w:val="ListParagraph"/>
        <w:numPr>
          <w:ilvl w:val="0"/>
          <w:numId w:val="15"/>
        </w:numPr>
        <w:spacing w:before="120" w:after="120"/>
        <w:ind w:left="284" w:right="-24" w:hanging="284"/>
        <w:contextualSpacing w:val="0"/>
        <w:jc w:val="both"/>
        <w:rPr>
          <w:rFonts w:cstheme="minorHAnsi"/>
        </w:rPr>
      </w:pPr>
      <w:r w:rsidRPr="00F83779">
        <w:rPr>
          <w:rFonts w:cstheme="minorHAnsi"/>
          <w:bCs/>
          <w:i/>
        </w:rPr>
        <w:t>Thematic discussions, capacity development activities and trainings</w:t>
      </w:r>
      <w:r w:rsidRPr="00F83779">
        <w:rPr>
          <w:rFonts w:cstheme="minorHAnsi"/>
          <w:b/>
          <w:bCs/>
          <w:i/>
        </w:rPr>
        <w:t xml:space="preserve"> </w:t>
      </w:r>
      <w:r w:rsidRPr="00F83779">
        <w:rPr>
          <w:rFonts w:cstheme="minorHAnsi"/>
          <w:bCs/>
        </w:rPr>
        <w:t xml:space="preserve">have been held </w:t>
      </w:r>
      <w:r w:rsidRPr="00F83779">
        <w:rPr>
          <w:rFonts w:cstheme="minorHAnsi"/>
          <w:bCs/>
          <w:i/>
        </w:rPr>
        <w:t>inter alia</w:t>
      </w:r>
      <w:r w:rsidRPr="00F83779">
        <w:rPr>
          <w:rFonts w:cstheme="minorHAnsi"/>
          <w:bCs/>
        </w:rPr>
        <w:t xml:space="preserve"> on the </w:t>
      </w:r>
      <w:hyperlink r:id="rId24" w:history="1">
        <w:r w:rsidRPr="00F83779">
          <w:rPr>
            <w:rStyle w:val="Hyperlink"/>
            <w:rFonts w:cstheme="minorHAnsi"/>
          </w:rPr>
          <w:t>links between wood energy and forest landscape restoration</w:t>
        </w:r>
      </w:hyperlink>
      <w:r w:rsidRPr="00F83779">
        <w:rPr>
          <w:rFonts w:cstheme="minorHAnsi"/>
        </w:rPr>
        <w:t xml:space="preserve"> with a view to best contribute to climate targets</w:t>
      </w:r>
      <w:r w:rsidRPr="00F83779">
        <w:rPr>
          <w:rFonts w:cstheme="minorHAnsi"/>
          <w:bCs/>
        </w:rPr>
        <w:t xml:space="preserve">; </w:t>
      </w:r>
      <w:hyperlink r:id="rId25" w:history="1">
        <w:r w:rsidRPr="00F83779">
          <w:rPr>
            <w:rStyle w:val="Hyperlink"/>
            <w:rFonts w:cstheme="minorHAnsi"/>
            <w:bCs/>
          </w:rPr>
          <w:t>bioenergy mapping</w:t>
        </w:r>
      </w:hyperlink>
      <w:r w:rsidRPr="00F83779">
        <w:rPr>
          <w:rFonts w:cstheme="minorHAnsi"/>
          <w:bCs/>
        </w:rPr>
        <w:t xml:space="preserve">; </w:t>
      </w:r>
      <w:hyperlink r:id="rId26" w:history="1">
        <w:r w:rsidRPr="00F83779">
          <w:rPr>
            <w:rStyle w:val="Hyperlink"/>
            <w:rFonts w:cstheme="minorHAnsi"/>
            <w:bCs/>
          </w:rPr>
          <w:t>bioenergy and water</w:t>
        </w:r>
      </w:hyperlink>
      <w:r w:rsidRPr="00F83779">
        <w:rPr>
          <w:rFonts w:cstheme="minorHAnsi"/>
          <w:bCs/>
        </w:rPr>
        <w:t xml:space="preserve">; </w:t>
      </w:r>
      <w:hyperlink r:id="rId27" w:history="1">
        <w:r w:rsidRPr="00F83779">
          <w:rPr>
            <w:rStyle w:val="Hyperlink"/>
            <w:rFonts w:cstheme="minorHAnsi"/>
            <w:bCs/>
          </w:rPr>
          <w:t>biogas</w:t>
        </w:r>
      </w:hyperlink>
      <w:r w:rsidRPr="00F83779">
        <w:rPr>
          <w:rFonts w:cstheme="minorHAnsi"/>
          <w:bCs/>
        </w:rPr>
        <w:t xml:space="preserve">; </w:t>
      </w:r>
      <w:hyperlink r:id="rId28" w:history="1">
        <w:r w:rsidRPr="00F83779">
          <w:rPr>
            <w:rStyle w:val="Hyperlink"/>
            <w:rFonts w:cstheme="minorHAnsi"/>
            <w:bCs/>
          </w:rPr>
          <w:t>advanced liquid biofuels</w:t>
        </w:r>
      </w:hyperlink>
      <w:r w:rsidRPr="00F83779">
        <w:rPr>
          <w:rFonts w:cstheme="minorHAnsi"/>
          <w:bCs/>
        </w:rPr>
        <w:t xml:space="preserve">; and bioenergy and nutrition security. </w:t>
      </w:r>
      <w:hyperlink r:id="rId29" w:history="1">
        <w:r w:rsidRPr="00F83779">
          <w:rPr>
            <w:rStyle w:val="Hyperlink"/>
            <w:rFonts w:cstheme="minorHAnsi"/>
            <w:bCs/>
          </w:rPr>
          <w:t>Bioeconomy and the role of b</w:t>
        </w:r>
        <w:r w:rsidRPr="00F83779">
          <w:rPr>
            <w:rStyle w:val="Hyperlink"/>
            <w:rFonts w:cstheme="minorHAnsi"/>
          </w:rPr>
          <w:t>ioenergy</w:t>
        </w:r>
      </w:hyperlink>
      <w:r w:rsidRPr="00F83779">
        <w:rPr>
          <w:rFonts w:cstheme="minorHAnsi"/>
        </w:rPr>
        <w:t xml:space="preserve"> in this broader context also represents a key focus area.</w:t>
      </w:r>
    </w:p>
    <w:sectPr w:rsidR="00F83779" w:rsidRPr="006D152D" w:rsidSect="00F227AF">
      <w:headerReference w:type="default" r:id="rId30"/>
      <w:footerReference w:type="even" r:id="rId31"/>
      <w:footerReference w:type="default" r:id="rId32"/>
      <w:type w:val="continuous"/>
      <w:pgSz w:w="11907" w:h="16840" w:code="9"/>
      <w:pgMar w:top="1843" w:right="1418" w:bottom="1134" w:left="1418"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467AE6" w14:textId="77777777" w:rsidR="00B21A3D" w:rsidRDefault="00B21A3D" w:rsidP="004D0A8D">
      <w:r>
        <w:separator/>
      </w:r>
    </w:p>
  </w:endnote>
  <w:endnote w:type="continuationSeparator" w:id="0">
    <w:p w14:paraId="29F14B70" w14:textId="77777777" w:rsidR="00B21A3D" w:rsidRDefault="00B21A3D" w:rsidP="004D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CF6AF" w14:textId="77777777" w:rsidR="00534D97" w:rsidRDefault="00534D97" w:rsidP="00D7036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DD07623" w14:textId="77777777" w:rsidR="00534D97" w:rsidRDefault="00534D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8095988"/>
      <w:docPartObj>
        <w:docPartGallery w:val="Page Numbers (Bottom of Page)"/>
        <w:docPartUnique/>
      </w:docPartObj>
    </w:sdtPr>
    <w:sdtEndPr>
      <w:rPr>
        <w:noProof/>
      </w:rPr>
    </w:sdtEndPr>
    <w:sdtContent>
      <w:p w14:paraId="727D5E3E" w14:textId="7C5CA1D4" w:rsidR="00F64846" w:rsidRDefault="00F64846">
        <w:pPr>
          <w:pStyle w:val="Footer"/>
          <w:jc w:val="right"/>
        </w:pPr>
        <w:r>
          <w:fldChar w:fldCharType="begin"/>
        </w:r>
        <w:r>
          <w:instrText xml:space="preserve"> PAGE   \* MERGEFORMAT </w:instrText>
        </w:r>
        <w:r>
          <w:fldChar w:fldCharType="separate"/>
        </w:r>
        <w:r w:rsidR="003D3D6A">
          <w:rPr>
            <w:noProof/>
          </w:rPr>
          <w:t>1</w:t>
        </w:r>
        <w:r>
          <w:rPr>
            <w:noProof/>
          </w:rPr>
          <w:fldChar w:fldCharType="end"/>
        </w:r>
      </w:p>
    </w:sdtContent>
  </w:sdt>
  <w:p w14:paraId="75A2EA36" w14:textId="77777777" w:rsidR="00534D97" w:rsidRDefault="00534D97" w:rsidP="00D7036E">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4FB045" w14:textId="77777777" w:rsidR="00B21A3D" w:rsidRDefault="00B21A3D" w:rsidP="004D0A8D">
      <w:r>
        <w:separator/>
      </w:r>
    </w:p>
  </w:footnote>
  <w:footnote w:type="continuationSeparator" w:id="0">
    <w:p w14:paraId="17B8A4E3" w14:textId="77777777" w:rsidR="00B21A3D" w:rsidRDefault="00B21A3D" w:rsidP="004D0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14D87" w14:textId="37C93709" w:rsidR="00534D97" w:rsidRDefault="003F0D68" w:rsidP="00D7036E">
    <w:pPr>
      <w:pStyle w:val="Header"/>
      <w:ind w:hanging="480"/>
    </w:pPr>
    <w:r>
      <w:rPr>
        <w:noProof/>
        <w:lang w:bidi="ar-SA"/>
      </w:rPr>
      <w:drawing>
        <wp:inline distT="0" distB="0" distL="0" distR="0" wp14:anchorId="3D5131EE" wp14:editId="36ECB5F7">
          <wp:extent cx="6289482" cy="701675"/>
          <wp:effectExtent l="0" t="0" r="0" b="317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294063" cy="702186"/>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A4504"/>
    <w:multiLevelType w:val="hybridMultilevel"/>
    <w:tmpl w:val="D826C44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7D4B35"/>
    <w:multiLevelType w:val="hybridMultilevel"/>
    <w:tmpl w:val="F23EC6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4A46E6"/>
    <w:multiLevelType w:val="hybridMultilevel"/>
    <w:tmpl w:val="A462F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CD2BA2"/>
    <w:multiLevelType w:val="hybridMultilevel"/>
    <w:tmpl w:val="3D5AF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E65728"/>
    <w:multiLevelType w:val="hybridMultilevel"/>
    <w:tmpl w:val="B51ED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7B5F80"/>
    <w:multiLevelType w:val="hybridMultilevel"/>
    <w:tmpl w:val="74486CD6"/>
    <w:lvl w:ilvl="0" w:tplc="C5700DA8">
      <w:start w:val="1"/>
      <w:numFmt w:val="decimal"/>
      <w:lvlText w:val="%1."/>
      <w:lvlJc w:val="left"/>
      <w:pPr>
        <w:ind w:left="720" w:hanging="360"/>
      </w:pPr>
      <w:rPr>
        <w:rFonts w:hint="default"/>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4ED6F3E"/>
    <w:multiLevelType w:val="hybridMultilevel"/>
    <w:tmpl w:val="28604940"/>
    <w:lvl w:ilvl="0" w:tplc="B376673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CE6D18"/>
    <w:multiLevelType w:val="hybridMultilevel"/>
    <w:tmpl w:val="F404D056"/>
    <w:lvl w:ilvl="0" w:tplc="1E46B17E">
      <w:start w:val="1"/>
      <w:numFmt w:val="bullet"/>
      <w:lvlText w:val="•"/>
      <w:lvlJc w:val="left"/>
      <w:pPr>
        <w:tabs>
          <w:tab w:val="num" w:pos="720"/>
        </w:tabs>
        <w:ind w:left="720" w:hanging="360"/>
      </w:pPr>
      <w:rPr>
        <w:rFonts w:ascii="Arial" w:hAnsi="Arial" w:hint="default"/>
      </w:rPr>
    </w:lvl>
    <w:lvl w:ilvl="1" w:tplc="A63A7974">
      <w:start w:val="215"/>
      <w:numFmt w:val="bullet"/>
      <w:lvlText w:val=""/>
      <w:lvlJc w:val="left"/>
      <w:pPr>
        <w:tabs>
          <w:tab w:val="num" w:pos="1440"/>
        </w:tabs>
        <w:ind w:left="1440" w:hanging="360"/>
      </w:pPr>
      <w:rPr>
        <w:rFonts w:ascii="Wingdings" w:hAnsi="Wingdings" w:hint="default"/>
      </w:rPr>
    </w:lvl>
    <w:lvl w:ilvl="2" w:tplc="BD4232FA" w:tentative="1">
      <w:start w:val="1"/>
      <w:numFmt w:val="bullet"/>
      <w:lvlText w:val="•"/>
      <w:lvlJc w:val="left"/>
      <w:pPr>
        <w:tabs>
          <w:tab w:val="num" w:pos="2160"/>
        </w:tabs>
        <w:ind w:left="2160" w:hanging="360"/>
      </w:pPr>
      <w:rPr>
        <w:rFonts w:ascii="Arial" w:hAnsi="Arial" w:hint="default"/>
      </w:rPr>
    </w:lvl>
    <w:lvl w:ilvl="3" w:tplc="F3F22CB8" w:tentative="1">
      <w:start w:val="1"/>
      <w:numFmt w:val="bullet"/>
      <w:lvlText w:val="•"/>
      <w:lvlJc w:val="left"/>
      <w:pPr>
        <w:tabs>
          <w:tab w:val="num" w:pos="2880"/>
        </w:tabs>
        <w:ind w:left="2880" w:hanging="360"/>
      </w:pPr>
      <w:rPr>
        <w:rFonts w:ascii="Arial" w:hAnsi="Arial" w:hint="default"/>
      </w:rPr>
    </w:lvl>
    <w:lvl w:ilvl="4" w:tplc="1AAA5A86" w:tentative="1">
      <w:start w:val="1"/>
      <w:numFmt w:val="bullet"/>
      <w:lvlText w:val="•"/>
      <w:lvlJc w:val="left"/>
      <w:pPr>
        <w:tabs>
          <w:tab w:val="num" w:pos="3600"/>
        </w:tabs>
        <w:ind w:left="3600" w:hanging="360"/>
      </w:pPr>
      <w:rPr>
        <w:rFonts w:ascii="Arial" w:hAnsi="Arial" w:hint="default"/>
      </w:rPr>
    </w:lvl>
    <w:lvl w:ilvl="5" w:tplc="5A2E18F8" w:tentative="1">
      <w:start w:val="1"/>
      <w:numFmt w:val="bullet"/>
      <w:lvlText w:val="•"/>
      <w:lvlJc w:val="left"/>
      <w:pPr>
        <w:tabs>
          <w:tab w:val="num" w:pos="4320"/>
        </w:tabs>
        <w:ind w:left="4320" w:hanging="360"/>
      </w:pPr>
      <w:rPr>
        <w:rFonts w:ascii="Arial" w:hAnsi="Arial" w:hint="default"/>
      </w:rPr>
    </w:lvl>
    <w:lvl w:ilvl="6" w:tplc="5B5EA600" w:tentative="1">
      <w:start w:val="1"/>
      <w:numFmt w:val="bullet"/>
      <w:lvlText w:val="•"/>
      <w:lvlJc w:val="left"/>
      <w:pPr>
        <w:tabs>
          <w:tab w:val="num" w:pos="5040"/>
        </w:tabs>
        <w:ind w:left="5040" w:hanging="360"/>
      </w:pPr>
      <w:rPr>
        <w:rFonts w:ascii="Arial" w:hAnsi="Arial" w:hint="default"/>
      </w:rPr>
    </w:lvl>
    <w:lvl w:ilvl="7" w:tplc="C346FD1A" w:tentative="1">
      <w:start w:val="1"/>
      <w:numFmt w:val="bullet"/>
      <w:lvlText w:val="•"/>
      <w:lvlJc w:val="left"/>
      <w:pPr>
        <w:tabs>
          <w:tab w:val="num" w:pos="5760"/>
        </w:tabs>
        <w:ind w:left="5760" w:hanging="360"/>
      </w:pPr>
      <w:rPr>
        <w:rFonts w:ascii="Arial" w:hAnsi="Arial" w:hint="default"/>
      </w:rPr>
    </w:lvl>
    <w:lvl w:ilvl="8" w:tplc="6EFAE5D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9337858"/>
    <w:multiLevelType w:val="hybridMultilevel"/>
    <w:tmpl w:val="0D889E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563C0A"/>
    <w:multiLevelType w:val="hybridMultilevel"/>
    <w:tmpl w:val="165C0D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4F4BC3"/>
    <w:multiLevelType w:val="hybridMultilevel"/>
    <w:tmpl w:val="DFFA360E"/>
    <w:lvl w:ilvl="0" w:tplc="C6AA0220">
      <w:start w:val="1"/>
      <w:numFmt w:val="decimal"/>
      <w:lvlText w:val="%1."/>
      <w:lvlJc w:val="left"/>
      <w:pPr>
        <w:ind w:left="405" w:hanging="360"/>
      </w:pPr>
    </w:lvl>
    <w:lvl w:ilvl="1" w:tplc="04090019">
      <w:start w:val="1"/>
      <w:numFmt w:val="lowerLetter"/>
      <w:lvlText w:val="%2."/>
      <w:lvlJc w:val="left"/>
      <w:pPr>
        <w:ind w:left="1125" w:hanging="360"/>
      </w:pPr>
    </w:lvl>
    <w:lvl w:ilvl="2" w:tplc="0409001B">
      <w:start w:val="1"/>
      <w:numFmt w:val="lowerRoman"/>
      <w:lvlText w:val="%3."/>
      <w:lvlJc w:val="right"/>
      <w:pPr>
        <w:ind w:left="1845" w:hanging="180"/>
      </w:pPr>
    </w:lvl>
    <w:lvl w:ilvl="3" w:tplc="0409000F">
      <w:start w:val="1"/>
      <w:numFmt w:val="decimal"/>
      <w:lvlText w:val="%4."/>
      <w:lvlJc w:val="left"/>
      <w:pPr>
        <w:ind w:left="2565" w:hanging="360"/>
      </w:pPr>
    </w:lvl>
    <w:lvl w:ilvl="4" w:tplc="04090019">
      <w:start w:val="1"/>
      <w:numFmt w:val="lowerLetter"/>
      <w:lvlText w:val="%5."/>
      <w:lvlJc w:val="left"/>
      <w:pPr>
        <w:ind w:left="3285" w:hanging="360"/>
      </w:pPr>
    </w:lvl>
    <w:lvl w:ilvl="5" w:tplc="0409001B">
      <w:start w:val="1"/>
      <w:numFmt w:val="lowerRoman"/>
      <w:lvlText w:val="%6."/>
      <w:lvlJc w:val="right"/>
      <w:pPr>
        <w:ind w:left="4005" w:hanging="180"/>
      </w:pPr>
    </w:lvl>
    <w:lvl w:ilvl="6" w:tplc="0409000F">
      <w:start w:val="1"/>
      <w:numFmt w:val="decimal"/>
      <w:lvlText w:val="%7."/>
      <w:lvlJc w:val="left"/>
      <w:pPr>
        <w:ind w:left="4725" w:hanging="360"/>
      </w:pPr>
    </w:lvl>
    <w:lvl w:ilvl="7" w:tplc="04090019">
      <w:start w:val="1"/>
      <w:numFmt w:val="lowerLetter"/>
      <w:lvlText w:val="%8."/>
      <w:lvlJc w:val="left"/>
      <w:pPr>
        <w:ind w:left="5445" w:hanging="360"/>
      </w:pPr>
    </w:lvl>
    <w:lvl w:ilvl="8" w:tplc="0409001B">
      <w:start w:val="1"/>
      <w:numFmt w:val="lowerRoman"/>
      <w:lvlText w:val="%9."/>
      <w:lvlJc w:val="right"/>
      <w:pPr>
        <w:ind w:left="6165" w:hanging="180"/>
      </w:pPr>
    </w:lvl>
  </w:abstractNum>
  <w:abstractNum w:abstractNumId="11" w15:restartNumberingAfterBreak="0">
    <w:nsid w:val="27D31224"/>
    <w:multiLevelType w:val="hybridMultilevel"/>
    <w:tmpl w:val="5122EA4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2" w15:restartNumberingAfterBreak="0">
    <w:nsid w:val="28BA2F27"/>
    <w:multiLevelType w:val="hybridMultilevel"/>
    <w:tmpl w:val="93B03C26"/>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E9A74B8"/>
    <w:multiLevelType w:val="hybridMultilevel"/>
    <w:tmpl w:val="02A00AD8"/>
    <w:lvl w:ilvl="0" w:tplc="A0A43CB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E716D5"/>
    <w:multiLevelType w:val="hybridMultilevel"/>
    <w:tmpl w:val="3336FEF2"/>
    <w:lvl w:ilvl="0" w:tplc="D7B4BF9C">
      <w:numFmt w:val="bullet"/>
      <w:lvlText w:val="-"/>
      <w:lvlJc w:val="left"/>
      <w:pPr>
        <w:ind w:left="1440" w:hanging="360"/>
      </w:pPr>
      <w:rPr>
        <w:rFonts w:ascii="Calibri" w:eastAsiaTheme="minorEastAsia"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21A3BAD"/>
    <w:multiLevelType w:val="hybridMultilevel"/>
    <w:tmpl w:val="92EE5592"/>
    <w:lvl w:ilvl="0" w:tplc="9EE6859E">
      <w:start w:val="4"/>
      <w:numFmt w:val="bullet"/>
      <w:lvlText w:val="-"/>
      <w:lvlJc w:val="left"/>
      <w:pPr>
        <w:ind w:left="720" w:hanging="360"/>
      </w:pPr>
      <w:rPr>
        <w:rFonts w:ascii="Calibri" w:eastAsiaTheme="minorEastAsia"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220E29"/>
    <w:multiLevelType w:val="hybridMultilevel"/>
    <w:tmpl w:val="B7A4A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233C34"/>
    <w:multiLevelType w:val="hybridMultilevel"/>
    <w:tmpl w:val="C56EBA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CB814EA"/>
    <w:multiLevelType w:val="hybridMultilevel"/>
    <w:tmpl w:val="02EA1F48"/>
    <w:lvl w:ilvl="0" w:tplc="DB68D44C">
      <w:numFmt w:val="bullet"/>
      <w:lvlText w:val="-"/>
      <w:lvlJc w:val="left"/>
      <w:pPr>
        <w:ind w:left="1440" w:hanging="360"/>
      </w:pPr>
      <w:rPr>
        <w:rFonts w:ascii="Calibri" w:eastAsiaTheme="minorEastAsia"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47D3071"/>
    <w:multiLevelType w:val="hybridMultilevel"/>
    <w:tmpl w:val="9962EB6A"/>
    <w:lvl w:ilvl="0" w:tplc="0409000D">
      <w:start w:val="1"/>
      <w:numFmt w:val="bullet"/>
      <w:lvlText w:val=""/>
      <w:lvlJc w:val="left"/>
      <w:pPr>
        <w:ind w:left="152" w:hanging="360"/>
      </w:pPr>
      <w:rPr>
        <w:rFonts w:ascii="Wingdings" w:hAnsi="Wingdings" w:hint="default"/>
      </w:rPr>
    </w:lvl>
    <w:lvl w:ilvl="1" w:tplc="04090003" w:tentative="1">
      <w:start w:val="1"/>
      <w:numFmt w:val="bullet"/>
      <w:lvlText w:val="o"/>
      <w:lvlJc w:val="left"/>
      <w:pPr>
        <w:ind w:left="872" w:hanging="360"/>
      </w:pPr>
      <w:rPr>
        <w:rFonts w:ascii="Courier New" w:hAnsi="Courier New" w:cs="Courier New" w:hint="default"/>
      </w:rPr>
    </w:lvl>
    <w:lvl w:ilvl="2" w:tplc="04090005" w:tentative="1">
      <w:start w:val="1"/>
      <w:numFmt w:val="bullet"/>
      <w:lvlText w:val=""/>
      <w:lvlJc w:val="left"/>
      <w:pPr>
        <w:ind w:left="1592" w:hanging="360"/>
      </w:pPr>
      <w:rPr>
        <w:rFonts w:ascii="Wingdings" w:hAnsi="Wingdings" w:hint="default"/>
      </w:rPr>
    </w:lvl>
    <w:lvl w:ilvl="3" w:tplc="04090001" w:tentative="1">
      <w:start w:val="1"/>
      <w:numFmt w:val="bullet"/>
      <w:lvlText w:val=""/>
      <w:lvlJc w:val="left"/>
      <w:pPr>
        <w:ind w:left="2312" w:hanging="360"/>
      </w:pPr>
      <w:rPr>
        <w:rFonts w:ascii="Symbol" w:hAnsi="Symbol" w:hint="default"/>
      </w:rPr>
    </w:lvl>
    <w:lvl w:ilvl="4" w:tplc="04090003" w:tentative="1">
      <w:start w:val="1"/>
      <w:numFmt w:val="bullet"/>
      <w:lvlText w:val="o"/>
      <w:lvlJc w:val="left"/>
      <w:pPr>
        <w:ind w:left="3032" w:hanging="360"/>
      </w:pPr>
      <w:rPr>
        <w:rFonts w:ascii="Courier New" w:hAnsi="Courier New" w:cs="Courier New" w:hint="default"/>
      </w:rPr>
    </w:lvl>
    <w:lvl w:ilvl="5" w:tplc="04090005" w:tentative="1">
      <w:start w:val="1"/>
      <w:numFmt w:val="bullet"/>
      <w:lvlText w:val=""/>
      <w:lvlJc w:val="left"/>
      <w:pPr>
        <w:ind w:left="3752" w:hanging="360"/>
      </w:pPr>
      <w:rPr>
        <w:rFonts w:ascii="Wingdings" w:hAnsi="Wingdings" w:hint="default"/>
      </w:rPr>
    </w:lvl>
    <w:lvl w:ilvl="6" w:tplc="04090001" w:tentative="1">
      <w:start w:val="1"/>
      <w:numFmt w:val="bullet"/>
      <w:lvlText w:val=""/>
      <w:lvlJc w:val="left"/>
      <w:pPr>
        <w:ind w:left="4472" w:hanging="360"/>
      </w:pPr>
      <w:rPr>
        <w:rFonts w:ascii="Symbol" w:hAnsi="Symbol" w:hint="default"/>
      </w:rPr>
    </w:lvl>
    <w:lvl w:ilvl="7" w:tplc="04090003" w:tentative="1">
      <w:start w:val="1"/>
      <w:numFmt w:val="bullet"/>
      <w:lvlText w:val="o"/>
      <w:lvlJc w:val="left"/>
      <w:pPr>
        <w:ind w:left="5192" w:hanging="360"/>
      </w:pPr>
      <w:rPr>
        <w:rFonts w:ascii="Courier New" w:hAnsi="Courier New" w:cs="Courier New" w:hint="default"/>
      </w:rPr>
    </w:lvl>
    <w:lvl w:ilvl="8" w:tplc="04090005" w:tentative="1">
      <w:start w:val="1"/>
      <w:numFmt w:val="bullet"/>
      <w:lvlText w:val=""/>
      <w:lvlJc w:val="left"/>
      <w:pPr>
        <w:ind w:left="5912" w:hanging="360"/>
      </w:pPr>
      <w:rPr>
        <w:rFonts w:ascii="Wingdings" w:hAnsi="Wingdings" w:hint="default"/>
      </w:rPr>
    </w:lvl>
  </w:abstractNum>
  <w:abstractNum w:abstractNumId="20" w15:restartNumberingAfterBreak="0">
    <w:nsid w:val="4D5F7FE7"/>
    <w:multiLevelType w:val="hybridMultilevel"/>
    <w:tmpl w:val="33FCA7D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355157"/>
    <w:multiLevelType w:val="hybridMultilevel"/>
    <w:tmpl w:val="B4D600D8"/>
    <w:lvl w:ilvl="0" w:tplc="25A80CC2">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5090516"/>
    <w:multiLevelType w:val="hybridMultilevel"/>
    <w:tmpl w:val="7C3ECF4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3" w15:restartNumberingAfterBreak="0">
    <w:nsid w:val="58D7666B"/>
    <w:multiLevelType w:val="hybridMultilevel"/>
    <w:tmpl w:val="118461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931F28"/>
    <w:multiLevelType w:val="hybridMultilevel"/>
    <w:tmpl w:val="01882BA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BE3611A"/>
    <w:multiLevelType w:val="hybridMultilevel"/>
    <w:tmpl w:val="DC5C4DF6"/>
    <w:lvl w:ilvl="0" w:tplc="0409000B">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5E6E65DC"/>
    <w:multiLevelType w:val="hybridMultilevel"/>
    <w:tmpl w:val="7262B07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8156C2"/>
    <w:multiLevelType w:val="hybridMultilevel"/>
    <w:tmpl w:val="9B161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982281"/>
    <w:multiLevelType w:val="hybridMultilevel"/>
    <w:tmpl w:val="E7E2767A"/>
    <w:lvl w:ilvl="0" w:tplc="A500672C">
      <w:start w:val="1"/>
      <w:numFmt w:val="bullet"/>
      <w:lvlText w:val="•"/>
      <w:lvlJc w:val="left"/>
      <w:pPr>
        <w:tabs>
          <w:tab w:val="num" w:pos="720"/>
        </w:tabs>
        <w:ind w:left="720" w:hanging="360"/>
      </w:pPr>
      <w:rPr>
        <w:rFonts w:ascii="Arial" w:hAnsi="Arial" w:hint="default"/>
      </w:rPr>
    </w:lvl>
    <w:lvl w:ilvl="1" w:tplc="933A8D44">
      <w:start w:val="215"/>
      <w:numFmt w:val="bullet"/>
      <w:lvlText w:val=""/>
      <w:lvlJc w:val="left"/>
      <w:pPr>
        <w:tabs>
          <w:tab w:val="num" w:pos="1440"/>
        </w:tabs>
        <w:ind w:left="1440" w:hanging="360"/>
      </w:pPr>
      <w:rPr>
        <w:rFonts w:ascii="Wingdings" w:hAnsi="Wingdings" w:hint="default"/>
      </w:rPr>
    </w:lvl>
    <w:lvl w:ilvl="2" w:tplc="E592D0B4" w:tentative="1">
      <w:start w:val="1"/>
      <w:numFmt w:val="bullet"/>
      <w:lvlText w:val="•"/>
      <w:lvlJc w:val="left"/>
      <w:pPr>
        <w:tabs>
          <w:tab w:val="num" w:pos="2160"/>
        </w:tabs>
        <w:ind w:left="2160" w:hanging="360"/>
      </w:pPr>
      <w:rPr>
        <w:rFonts w:ascii="Arial" w:hAnsi="Arial" w:hint="default"/>
      </w:rPr>
    </w:lvl>
    <w:lvl w:ilvl="3" w:tplc="2B188E04" w:tentative="1">
      <w:start w:val="1"/>
      <w:numFmt w:val="bullet"/>
      <w:lvlText w:val="•"/>
      <w:lvlJc w:val="left"/>
      <w:pPr>
        <w:tabs>
          <w:tab w:val="num" w:pos="2880"/>
        </w:tabs>
        <w:ind w:left="2880" w:hanging="360"/>
      </w:pPr>
      <w:rPr>
        <w:rFonts w:ascii="Arial" w:hAnsi="Arial" w:hint="default"/>
      </w:rPr>
    </w:lvl>
    <w:lvl w:ilvl="4" w:tplc="C5D41204" w:tentative="1">
      <w:start w:val="1"/>
      <w:numFmt w:val="bullet"/>
      <w:lvlText w:val="•"/>
      <w:lvlJc w:val="left"/>
      <w:pPr>
        <w:tabs>
          <w:tab w:val="num" w:pos="3600"/>
        </w:tabs>
        <w:ind w:left="3600" w:hanging="360"/>
      </w:pPr>
      <w:rPr>
        <w:rFonts w:ascii="Arial" w:hAnsi="Arial" w:hint="default"/>
      </w:rPr>
    </w:lvl>
    <w:lvl w:ilvl="5" w:tplc="790AF34A" w:tentative="1">
      <w:start w:val="1"/>
      <w:numFmt w:val="bullet"/>
      <w:lvlText w:val="•"/>
      <w:lvlJc w:val="left"/>
      <w:pPr>
        <w:tabs>
          <w:tab w:val="num" w:pos="4320"/>
        </w:tabs>
        <w:ind w:left="4320" w:hanging="360"/>
      </w:pPr>
      <w:rPr>
        <w:rFonts w:ascii="Arial" w:hAnsi="Arial" w:hint="default"/>
      </w:rPr>
    </w:lvl>
    <w:lvl w:ilvl="6" w:tplc="F188AFBC" w:tentative="1">
      <w:start w:val="1"/>
      <w:numFmt w:val="bullet"/>
      <w:lvlText w:val="•"/>
      <w:lvlJc w:val="left"/>
      <w:pPr>
        <w:tabs>
          <w:tab w:val="num" w:pos="5040"/>
        </w:tabs>
        <w:ind w:left="5040" w:hanging="360"/>
      </w:pPr>
      <w:rPr>
        <w:rFonts w:ascii="Arial" w:hAnsi="Arial" w:hint="default"/>
      </w:rPr>
    </w:lvl>
    <w:lvl w:ilvl="7" w:tplc="4EA2177A" w:tentative="1">
      <w:start w:val="1"/>
      <w:numFmt w:val="bullet"/>
      <w:lvlText w:val="•"/>
      <w:lvlJc w:val="left"/>
      <w:pPr>
        <w:tabs>
          <w:tab w:val="num" w:pos="5760"/>
        </w:tabs>
        <w:ind w:left="5760" w:hanging="360"/>
      </w:pPr>
      <w:rPr>
        <w:rFonts w:ascii="Arial" w:hAnsi="Arial" w:hint="default"/>
      </w:rPr>
    </w:lvl>
    <w:lvl w:ilvl="8" w:tplc="000055F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2DA1179"/>
    <w:multiLevelType w:val="hybridMultilevel"/>
    <w:tmpl w:val="270AF4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4F265B"/>
    <w:multiLevelType w:val="hybridMultilevel"/>
    <w:tmpl w:val="69F8C68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856C19"/>
    <w:multiLevelType w:val="hybridMultilevel"/>
    <w:tmpl w:val="944E19B4"/>
    <w:lvl w:ilvl="0" w:tplc="F1748486">
      <w:start w:val="1"/>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EC6216"/>
    <w:multiLevelType w:val="hybridMultilevel"/>
    <w:tmpl w:val="3D3484B0"/>
    <w:lvl w:ilvl="0" w:tplc="0409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3" w15:restartNumberingAfterBreak="0">
    <w:nsid w:val="6685430D"/>
    <w:multiLevelType w:val="hybridMultilevel"/>
    <w:tmpl w:val="22C4065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6A10E36"/>
    <w:multiLevelType w:val="hybridMultilevel"/>
    <w:tmpl w:val="B2F847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C152A9"/>
    <w:multiLevelType w:val="hybridMultilevel"/>
    <w:tmpl w:val="2B4A3CF8"/>
    <w:lvl w:ilvl="0" w:tplc="434E979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6D00F35"/>
    <w:multiLevelType w:val="hybridMultilevel"/>
    <w:tmpl w:val="80747B20"/>
    <w:lvl w:ilvl="0" w:tplc="D8C6CA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07603B"/>
    <w:multiLevelType w:val="hybridMultilevel"/>
    <w:tmpl w:val="EC9CBC9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8" w15:restartNumberingAfterBreak="0">
    <w:nsid w:val="6A0E58AD"/>
    <w:multiLevelType w:val="hybridMultilevel"/>
    <w:tmpl w:val="5404776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AFE5CCF"/>
    <w:multiLevelType w:val="hybridMultilevel"/>
    <w:tmpl w:val="8EE802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411EF2"/>
    <w:multiLevelType w:val="hybridMultilevel"/>
    <w:tmpl w:val="467445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5"/>
  </w:num>
  <w:num w:numId="4">
    <w:abstractNumId w:val="2"/>
  </w:num>
  <w:num w:numId="5">
    <w:abstractNumId w:val="25"/>
  </w:num>
  <w:num w:numId="6">
    <w:abstractNumId w:val="22"/>
  </w:num>
  <w:num w:numId="7">
    <w:abstractNumId w:val="8"/>
  </w:num>
  <w:num w:numId="8">
    <w:abstractNumId w:val="16"/>
  </w:num>
  <w:num w:numId="9">
    <w:abstractNumId w:val="27"/>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35"/>
  </w:num>
  <w:num w:numId="13">
    <w:abstractNumId w:val="1"/>
  </w:num>
  <w:num w:numId="14">
    <w:abstractNumId w:val="39"/>
  </w:num>
  <w:num w:numId="15">
    <w:abstractNumId w:val="19"/>
  </w:num>
  <w:num w:numId="16">
    <w:abstractNumId w:val="17"/>
  </w:num>
  <w:num w:numId="17">
    <w:abstractNumId w:val="32"/>
  </w:num>
  <w:num w:numId="18">
    <w:abstractNumId w:val="12"/>
  </w:num>
  <w:num w:numId="19">
    <w:abstractNumId w:val="5"/>
  </w:num>
  <w:num w:numId="20">
    <w:abstractNumId w:val="37"/>
  </w:num>
  <w:num w:numId="21">
    <w:abstractNumId w:val="7"/>
  </w:num>
  <w:num w:numId="22">
    <w:abstractNumId w:val="11"/>
  </w:num>
  <w:num w:numId="23">
    <w:abstractNumId w:val="28"/>
  </w:num>
  <w:num w:numId="24">
    <w:abstractNumId w:val="13"/>
  </w:num>
  <w:num w:numId="25">
    <w:abstractNumId w:val="21"/>
  </w:num>
  <w:num w:numId="26">
    <w:abstractNumId w:val="18"/>
  </w:num>
  <w:num w:numId="27">
    <w:abstractNumId w:val="14"/>
  </w:num>
  <w:num w:numId="28">
    <w:abstractNumId w:val="20"/>
  </w:num>
  <w:num w:numId="29">
    <w:abstractNumId w:val="26"/>
  </w:num>
  <w:num w:numId="30">
    <w:abstractNumId w:val="31"/>
  </w:num>
  <w:num w:numId="31">
    <w:abstractNumId w:val="30"/>
  </w:num>
  <w:num w:numId="32">
    <w:abstractNumId w:val="9"/>
  </w:num>
  <w:num w:numId="33">
    <w:abstractNumId w:val="40"/>
  </w:num>
  <w:num w:numId="34">
    <w:abstractNumId w:val="29"/>
  </w:num>
  <w:num w:numId="35">
    <w:abstractNumId w:val="24"/>
  </w:num>
  <w:num w:numId="36">
    <w:abstractNumId w:val="34"/>
  </w:num>
  <w:num w:numId="37">
    <w:abstractNumId w:val="36"/>
  </w:num>
  <w:num w:numId="38">
    <w:abstractNumId w:val="6"/>
  </w:num>
  <w:num w:numId="39">
    <w:abstractNumId w:val="33"/>
  </w:num>
  <w:num w:numId="40">
    <w:abstractNumId w:val="38"/>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8DC"/>
    <w:rsid w:val="00005E11"/>
    <w:rsid w:val="00034AF9"/>
    <w:rsid w:val="00040B0A"/>
    <w:rsid w:val="00041793"/>
    <w:rsid w:val="00063835"/>
    <w:rsid w:val="00076A9D"/>
    <w:rsid w:val="00077C07"/>
    <w:rsid w:val="00090D84"/>
    <w:rsid w:val="000A0DB5"/>
    <w:rsid w:val="000A2570"/>
    <w:rsid w:val="000B5954"/>
    <w:rsid w:val="000C420D"/>
    <w:rsid w:val="000D0B77"/>
    <w:rsid w:val="000D1DCD"/>
    <w:rsid w:val="000E08F3"/>
    <w:rsid w:val="000E7564"/>
    <w:rsid w:val="00101BB6"/>
    <w:rsid w:val="00102E27"/>
    <w:rsid w:val="0012133B"/>
    <w:rsid w:val="00123C69"/>
    <w:rsid w:val="00125225"/>
    <w:rsid w:val="00137518"/>
    <w:rsid w:val="00144037"/>
    <w:rsid w:val="0014637C"/>
    <w:rsid w:val="00147B3E"/>
    <w:rsid w:val="00160D5C"/>
    <w:rsid w:val="00161A21"/>
    <w:rsid w:val="001659B1"/>
    <w:rsid w:val="00176631"/>
    <w:rsid w:val="001C17BE"/>
    <w:rsid w:val="001C7B23"/>
    <w:rsid w:val="001E08DC"/>
    <w:rsid w:val="001F4342"/>
    <w:rsid w:val="001F6E88"/>
    <w:rsid w:val="0020267A"/>
    <w:rsid w:val="00213F98"/>
    <w:rsid w:val="00221BF3"/>
    <w:rsid w:val="002279D7"/>
    <w:rsid w:val="00254F86"/>
    <w:rsid w:val="002700ED"/>
    <w:rsid w:val="0027323F"/>
    <w:rsid w:val="00273767"/>
    <w:rsid w:val="002868DB"/>
    <w:rsid w:val="00291843"/>
    <w:rsid w:val="00304D6D"/>
    <w:rsid w:val="00337131"/>
    <w:rsid w:val="0036518A"/>
    <w:rsid w:val="00382527"/>
    <w:rsid w:val="00384046"/>
    <w:rsid w:val="003852CB"/>
    <w:rsid w:val="003903F3"/>
    <w:rsid w:val="003926C0"/>
    <w:rsid w:val="003941C2"/>
    <w:rsid w:val="003B5A9F"/>
    <w:rsid w:val="003B78D4"/>
    <w:rsid w:val="003C249F"/>
    <w:rsid w:val="003D14EE"/>
    <w:rsid w:val="003D3D6A"/>
    <w:rsid w:val="003F0D68"/>
    <w:rsid w:val="003F370C"/>
    <w:rsid w:val="003F5BCD"/>
    <w:rsid w:val="00400877"/>
    <w:rsid w:val="00400922"/>
    <w:rsid w:val="00426F5C"/>
    <w:rsid w:val="00433FEF"/>
    <w:rsid w:val="004455FD"/>
    <w:rsid w:val="004530CF"/>
    <w:rsid w:val="00481C3F"/>
    <w:rsid w:val="004B72A3"/>
    <w:rsid w:val="004D0A8D"/>
    <w:rsid w:val="004D79B1"/>
    <w:rsid w:val="004E2597"/>
    <w:rsid w:val="004F15F0"/>
    <w:rsid w:val="005036C8"/>
    <w:rsid w:val="00504186"/>
    <w:rsid w:val="00506FCC"/>
    <w:rsid w:val="0051624C"/>
    <w:rsid w:val="00520C8D"/>
    <w:rsid w:val="00523024"/>
    <w:rsid w:val="00524126"/>
    <w:rsid w:val="00534D97"/>
    <w:rsid w:val="00535935"/>
    <w:rsid w:val="00545B14"/>
    <w:rsid w:val="00553E50"/>
    <w:rsid w:val="00582257"/>
    <w:rsid w:val="0058649F"/>
    <w:rsid w:val="00587CC0"/>
    <w:rsid w:val="0059176A"/>
    <w:rsid w:val="00591C20"/>
    <w:rsid w:val="005A02DB"/>
    <w:rsid w:val="005A17BD"/>
    <w:rsid w:val="005A5315"/>
    <w:rsid w:val="005A6009"/>
    <w:rsid w:val="005B0CAC"/>
    <w:rsid w:val="005C4245"/>
    <w:rsid w:val="005C6BA5"/>
    <w:rsid w:val="005C6FCF"/>
    <w:rsid w:val="005D4F29"/>
    <w:rsid w:val="005D4F31"/>
    <w:rsid w:val="005D7465"/>
    <w:rsid w:val="005E7352"/>
    <w:rsid w:val="005F02C9"/>
    <w:rsid w:val="005F1C2B"/>
    <w:rsid w:val="005F23BB"/>
    <w:rsid w:val="005F6514"/>
    <w:rsid w:val="0060459D"/>
    <w:rsid w:val="0062224B"/>
    <w:rsid w:val="00640063"/>
    <w:rsid w:val="00645DD3"/>
    <w:rsid w:val="00646DFC"/>
    <w:rsid w:val="00667207"/>
    <w:rsid w:val="006842EB"/>
    <w:rsid w:val="00686328"/>
    <w:rsid w:val="0069417F"/>
    <w:rsid w:val="006C0C1D"/>
    <w:rsid w:val="006C4562"/>
    <w:rsid w:val="006D152D"/>
    <w:rsid w:val="006D6E16"/>
    <w:rsid w:val="006E1B66"/>
    <w:rsid w:val="006E51E5"/>
    <w:rsid w:val="00706C92"/>
    <w:rsid w:val="00725991"/>
    <w:rsid w:val="0073287D"/>
    <w:rsid w:val="00755A2C"/>
    <w:rsid w:val="00770160"/>
    <w:rsid w:val="00796249"/>
    <w:rsid w:val="00797AAC"/>
    <w:rsid w:val="007C3EB8"/>
    <w:rsid w:val="007C40C2"/>
    <w:rsid w:val="007D0B88"/>
    <w:rsid w:val="007E4DEC"/>
    <w:rsid w:val="008076E4"/>
    <w:rsid w:val="008161D2"/>
    <w:rsid w:val="008342F1"/>
    <w:rsid w:val="008600B4"/>
    <w:rsid w:val="00866E8C"/>
    <w:rsid w:val="00871832"/>
    <w:rsid w:val="008B4A09"/>
    <w:rsid w:val="008C2A41"/>
    <w:rsid w:val="008C35ED"/>
    <w:rsid w:val="008D1F65"/>
    <w:rsid w:val="008E09B9"/>
    <w:rsid w:val="008F4E28"/>
    <w:rsid w:val="008F644B"/>
    <w:rsid w:val="009054FD"/>
    <w:rsid w:val="0090669C"/>
    <w:rsid w:val="00906F8A"/>
    <w:rsid w:val="009153F3"/>
    <w:rsid w:val="00944975"/>
    <w:rsid w:val="0094725E"/>
    <w:rsid w:val="0095591E"/>
    <w:rsid w:val="00957763"/>
    <w:rsid w:val="00960D33"/>
    <w:rsid w:val="009738C6"/>
    <w:rsid w:val="00975710"/>
    <w:rsid w:val="00986A97"/>
    <w:rsid w:val="0099467D"/>
    <w:rsid w:val="00995229"/>
    <w:rsid w:val="009B5B33"/>
    <w:rsid w:val="00A10B8A"/>
    <w:rsid w:val="00A25867"/>
    <w:rsid w:val="00A26BCC"/>
    <w:rsid w:val="00A27699"/>
    <w:rsid w:val="00A31281"/>
    <w:rsid w:val="00A62AC9"/>
    <w:rsid w:val="00A65001"/>
    <w:rsid w:val="00A701FB"/>
    <w:rsid w:val="00A74D04"/>
    <w:rsid w:val="00A750B6"/>
    <w:rsid w:val="00A8351C"/>
    <w:rsid w:val="00A84A78"/>
    <w:rsid w:val="00AA4570"/>
    <w:rsid w:val="00AA5F41"/>
    <w:rsid w:val="00AA7BAB"/>
    <w:rsid w:val="00B12A6E"/>
    <w:rsid w:val="00B21A3D"/>
    <w:rsid w:val="00B23F22"/>
    <w:rsid w:val="00B44BFE"/>
    <w:rsid w:val="00B57BB4"/>
    <w:rsid w:val="00B764DE"/>
    <w:rsid w:val="00B805A2"/>
    <w:rsid w:val="00B95052"/>
    <w:rsid w:val="00BA12BD"/>
    <w:rsid w:val="00BA2D57"/>
    <w:rsid w:val="00BA6167"/>
    <w:rsid w:val="00BB2518"/>
    <w:rsid w:val="00BB321F"/>
    <w:rsid w:val="00BC059B"/>
    <w:rsid w:val="00BC7B21"/>
    <w:rsid w:val="00BF4E67"/>
    <w:rsid w:val="00C012AF"/>
    <w:rsid w:val="00C03CED"/>
    <w:rsid w:val="00C15BCB"/>
    <w:rsid w:val="00C20936"/>
    <w:rsid w:val="00C24BE0"/>
    <w:rsid w:val="00C51708"/>
    <w:rsid w:val="00C66B8F"/>
    <w:rsid w:val="00C6700A"/>
    <w:rsid w:val="00C751D9"/>
    <w:rsid w:val="00C877DC"/>
    <w:rsid w:val="00C97575"/>
    <w:rsid w:val="00CA2550"/>
    <w:rsid w:val="00CA527F"/>
    <w:rsid w:val="00CB4436"/>
    <w:rsid w:val="00D1573D"/>
    <w:rsid w:val="00D31414"/>
    <w:rsid w:val="00D322EE"/>
    <w:rsid w:val="00D7036E"/>
    <w:rsid w:val="00D726D2"/>
    <w:rsid w:val="00D76A09"/>
    <w:rsid w:val="00D86A33"/>
    <w:rsid w:val="00DA620F"/>
    <w:rsid w:val="00DC0FB7"/>
    <w:rsid w:val="00DD3E1E"/>
    <w:rsid w:val="00E03729"/>
    <w:rsid w:val="00E209E0"/>
    <w:rsid w:val="00E45D1F"/>
    <w:rsid w:val="00E60895"/>
    <w:rsid w:val="00E6164D"/>
    <w:rsid w:val="00E6244F"/>
    <w:rsid w:val="00E73823"/>
    <w:rsid w:val="00E76466"/>
    <w:rsid w:val="00E826B1"/>
    <w:rsid w:val="00E95641"/>
    <w:rsid w:val="00EA61E2"/>
    <w:rsid w:val="00EB0986"/>
    <w:rsid w:val="00EE7334"/>
    <w:rsid w:val="00EF26F9"/>
    <w:rsid w:val="00EF2F2D"/>
    <w:rsid w:val="00EF3C29"/>
    <w:rsid w:val="00F17948"/>
    <w:rsid w:val="00F21091"/>
    <w:rsid w:val="00F227AF"/>
    <w:rsid w:val="00F35759"/>
    <w:rsid w:val="00F4499C"/>
    <w:rsid w:val="00F53729"/>
    <w:rsid w:val="00F62E75"/>
    <w:rsid w:val="00F64846"/>
    <w:rsid w:val="00F83779"/>
    <w:rsid w:val="00F85E3A"/>
    <w:rsid w:val="00FA5900"/>
    <w:rsid w:val="00FD5729"/>
    <w:rsid w:val="00FE4582"/>
    <w:rsid w:val="00FF0E4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064DA7"/>
  <w15:docId w15:val="{C537B4AB-2043-469E-878D-C099D9744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1F65"/>
    <w:pPr>
      <w:spacing w:after="0" w:line="240" w:lineRule="auto"/>
    </w:pPr>
    <w:rPr>
      <w:sz w:val="24"/>
      <w:szCs w:val="24"/>
    </w:rPr>
  </w:style>
  <w:style w:type="paragraph" w:styleId="Heading1">
    <w:name w:val="heading 1"/>
    <w:basedOn w:val="Normal"/>
    <w:next w:val="Normal"/>
    <w:link w:val="Heading1Char"/>
    <w:uiPriority w:val="9"/>
    <w:qFormat/>
    <w:rsid w:val="001E08DC"/>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1E08DC"/>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1E08DC"/>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1E08DC"/>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1E08DC"/>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1E08DC"/>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E08DC"/>
    <w:pPr>
      <w:spacing w:before="240" w:after="60"/>
      <w:outlineLvl w:val="6"/>
    </w:pPr>
  </w:style>
  <w:style w:type="paragraph" w:styleId="Heading8">
    <w:name w:val="heading 8"/>
    <w:basedOn w:val="Normal"/>
    <w:next w:val="Normal"/>
    <w:link w:val="Heading8Char"/>
    <w:uiPriority w:val="9"/>
    <w:semiHidden/>
    <w:unhideWhenUsed/>
    <w:qFormat/>
    <w:rsid w:val="001E08DC"/>
    <w:pPr>
      <w:spacing w:before="240" w:after="60"/>
      <w:outlineLvl w:val="7"/>
    </w:pPr>
    <w:rPr>
      <w:i/>
      <w:iCs/>
    </w:rPr>
  </w:style>
  <w:style w:type="paragraph" w:styleId="Heading9">
    <w:name w:val="heading 9"/>
    <w:basedOn w:val="Normal"/>
    <w:next w:val="Normal"/>
    <w:link w:val="Heading9Char"/>
    <w:uiPriority w:val="9"/>
    <w:semiHidden/>
    <w:unhideWhenUsed/>
    <w:qFormat/>
    <w:rsid w:val="001E08DC"/>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13F98"/>
    <w:pPr>
      <w:tabs>
        <w:tab w:val="center" w:pos="4536"/>
        <w:tab w:val="right" w:pos="9072"/>
      </w:tabs>
    </w:pPr>
  </w:style>
  <w:style w:type="character" w:customStyle="1" w:styleId="HeaderChar">
    <w:name w:val="Header Char"/>
    <w:basedOn w:val="DefaultParagraphFont"/>
    <w:link w:val="Header"/>
    <w:semiHidden/>
    <w:rsid w:val="00213F98"/>
    <w:rPr>
      <w:rFonts w:ascii="Times New Roman" w:hAnsi="Times New Roman"/>
      <w:sz w:val="24"/>
      <w:lang w:val="en-GB"/>
    </w:rPr>
  </w:style>
  <w:style w:type="paragraph" w:styleId="Footer">
    <w:name w:val="footer"/>
    <w:basedOn w:val="Normal"/>
    <w:link w:val="FooterChar"/>
    <w:uiPriority w:val="99"/>
    <w:unhideWhenUsed/>
    <w:rsid w:val="00213F98"/>
    <w:pPr>
      <w:tabs>
        <w:tab w:val="center" w:pos="4536"/>
        <w:tab w:val="right" w:pos="9072"/>
      </w:tabs>
    </w:pPr>
  </w:style>
  <w:style w:type="character" w:customStyle="1" w:styleId="FooterChar">
    <w:name w:val="Footer Char"/>
    <w:basedOn w:val="DefaultParagraphFont"/>
    <w:link w:val="Footer"/>
    <w:uiPriority w:val="99"/>
    <w:rsid w:val="00213F98"/>
    <w:rPr>
      <w:rFonts w:ascii="Times New Roman" w:hAnsi="Times New Roman"/>
      <w:sz w:val="24"/>
      <w:lang w:val="en-GB"/>
    </w:rPr>
  </w:style>
  <w:style w:type="character" w:customStyle="1" w:styleId="Normal1">
    <w:name w:val="Normal1"/>
    <w:basedOn w:val="DefaultParagraphFont"/>
    <w:rsid w:val="001E08DC"/>
  </w:style>
  <w:style w:type="paragraph" w:styleId="NoSpacing">
    <w:name w:val="No Spacing"/>
    <w:basedOn w:val="Normal"/>
    <w:uiPriority w:val="1"/>
    <w:qFormat/>
    <w:rsid w:val="001E08DC"/>
    <w:rPr>
      <w:szCs w:val="32"/>
    </w:rPr>
  </w:style>
  <w:style w:type="character" w:customStyle="1" w:styleId="Heading1Char">
    <w:name w:val="Heading 1 Char"/>
    <w:basedOn w:val="DefaultParagraphFont"/>
    <w:link w:val="Heading1"/>
    <w:uiPriority w:val="9"/>
    <w:rsid w:val="001E08DC"/>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1E08DC"/>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1E08DC"/>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1E08DC"/>
    <w:rPr>
      <w:b/>
      <w:bCs/>
      <w:sz w:val="28"/>
      <w:szCs w:val="28"/>
    </w:rPr>
  </w:style>
  <w:style w:type="character" w:customStyle="1" w:styleId="Heading5Char">
    <w:name w:val="Heading 5 Char"/>
    <w:basedOn w:val="DefaultParagraphFont"/>
    <w:link w:val="Heading5"/>
    <w:uiPriority w:val="9"/>
    <w:semiHidden/>
    <w:rsid w:val="001E08DC"/>
    <w:rPr>
      <w:b/>
      <w:bCs/>
      <w:i/>
      <w:iCs/>
      <w:sz w:val="26"/>
      <w:szCs w:val="26"/>
    </w:rPr>
  </w:style>
  <w:style w:type="character" w:customStyle="1" w:styleId="Heading6Char">
    <w:name w:val="Heading 6 Char"/>
    <w:basedOn w:val="DefaultParagraphFont"/>
    <w:link w:val="Heading6"/>
    <w:uiPriority w:val="9"/>
    <w:semiHidden/>
    <w:rsid w:val="001E08DC"/>
    <w:rPr>
      <w:b/>
      <w:bCs/>
    </w:rPr>
  </w:style>
  <w:style w:type="character" w:customStyle="1" w:styleId="Heading7Char">
    <w:name w:val="Heading 7 Char"/>
    <w:basedOn w:val="DefaultParagraphFont"/>
    <w:link w:val="Heading7"/>
    <w:uiPriority w:val="9"/>
    <w:semiHidden/>
    <w:rsid w:val="001E08DC"/>
    <w:rPr>
      <w:sz w:val="24"/>
      <w:szCs w:val="24"/>
    </w:rPr>
  </w:style>
  <w:style w:type="character" w:customStyle="1" w:styleId="Heading8Char">
    <w:name w:val="Heading 8 Char"/>
    <w:basedOn w:val="DefaultParagraphFont"/>
    <w:link w:val="Heading8"/>
    <w:uiPriority w:val="9"/>
    <w:semiHidden/>
    <w:rsid w:val="001E08DC"/>
    <w:rPr>
      <w:i/>
      <w:iCs/>
      <w:sz w:val="24"/>
      <w:szCs w:val="24"/>
    </w:rPr>
  </w:style>
  <w:style w:type="character" w:customStyle="1" w:styleId="Heading9Char">
    <w:name w:val="Heading 9 Char"/>
    <w:basedOn w:val="DefaultParagraphFont"/>
    <w:link w:val="Heading9"/>
    <w:uiPriority w:val="9"/>
    <w:semiHidden/>
    <w:rsid w:val="001E08DC"/>
    <w:rPr>
      <w:rFonts w:asciiTheme="majorHAnsi" w:eastAsiaTheme="majorEastAsia" w:hAnsiTheme="majorHAnsi"/>
    </w:rPr>
  </w:style>
  <w:style w:type="paragraph" w:styleId="Title">
    <w:name w:val="Title"/>
    <w:basedOn w:val="Normal"/>
    <w:next w:val="Normal"/>
    <w:link w:val="TitleChar"/>
    <w:qFormat/>
    <w:rsid w:val="001E08DC"/>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rsid w:val="001E08DC"/>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1E08DC"/>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1E08DC"/>
    <w:rPr>
      <w:rFonts w:asciiTheme="majorHAnsi" w:eastAsiaTheme="majorEastAsia" w:hAnsiTheme="majorHAnsi"/>
      <w:sz w:val="24"/>
      <w:szCs w:val="24"/>
    </w:rPr>
  </w:style>
  <w:style w:type="character" w:styleId="Strong">
    <w:name w:val="Strong"/>
    <w:basedOn w:val="DefaultParagraphFont"/>
    <w:uiPriority w:val="22"/>
    <w:qFormat/>
    <w:rsid w:val="001E08DC"/>
    <w:rPr>
      <w:b/>
      <w:bCs/>
    </w:rPr>
  </w:style>
  <w:style w:type="character" w:styleId="Emphasis">
    <w:name w:val="Emphasis"/>
    <w:basedOn w:val="DefaultParagraphFont"/>
    <w:uiPriority w:val="20"/>
    <w:qFormat/>
    <w:rsid w:val="001E08DC"/>
    <w:rPr>
      <w:rFonts w:asciiTheme="minorHAnsi" w:hAnsiTheme="minorHAnsi"/>
      <w:b/>
      <w:i/>
      <w:iCs/>
    </w:rPr>
  </w:style>
  <w:style w:type="paragraph" w:styleId="ListParagraph">
    <w:name w:val="List Paragraph"/>
    <w:aliases w:val="Bullets,Paragraphe de liste1,List Paragraph11,List Paragraph1,Para,ADB paragraph numbering,References,stil3,references,List Paragraph (numbered (a)),Lapis Bulleted List,Dot pt,F5 List Paragraph,No Spacing1,List Paragraph Char Char Char,U "/>
    <w:basedOn w:val="Normal"/>
    <w:link w:val="ListParagraphChar"/>
    <w:uiPriority w:val="1"/>
    <w:qFormat/>
    <w:rsid w:val="001E08DC"/>
    <w:pPr>
      <w:ind w:left="720"/>
      <w:contextualSpacing/>
    </w:pPr>
  </w:style>
  <w:style w:type="paragraph" w:styleId="Quote">
    <w:name w:val="Quote"/>
    <w:basedOn w:val="Normal"/>
    <w:next w:val="Normal"/>
    <w:link w:val="QuoteChar"/>
    <w:uiPriority w:val="29"/>
    <w:qFormat/>
    <w:rsid w:val="001E08DC"/>
    <w:rPr>
      <w:i/>
    </w:rPr>
  </w:style>
  <w:style w:type="character" w:customStyle="1" w:styleId="QuoteChar">
    <w:name w:val="Quote Char"/>
    <w:basedOn w:val="DefaultParagraphFont"/>
    <w:link w:val="Quote"/>
    <w:uiPriority w:val="29"/>
    <w:rsid w:val="001E08DC"/>
    <w:rPr>
      <w:i/>
      <w:sz w:val="24"/>
      <w:szCs w:val="24"/>
    </w:rPr>
  </w:style>
  <w:style w:type="paragraph" w:styleId="IntenseQuote">
    <w:name w:val="Intense Quote"/>
    <w:basedOn w:val="Normal"/>
    <w:next w:val="Normal"/>
    <w:link w:val="IntenseQuoteChar"/>
    <w:uiPriority w:val="30"/>
    <w:qFormat/>
    <w:rsid w:val="001E08DC"/>
    <w:pPr>
      <w:ind w:left="720" w:right="720"/>
    </w:pPr>
    <w:rPr>
      <w:b/>
      <w:i/>
      <w:szCs w:val="22"/>
    </w:rPr>
  </w:style>
  <w:style w:type="character" w:customStyle="1" w:styleId="IntenseQuoteChar">
    <w:name w:val="Intense Quote Char"/>
    <w:basedOn w:val="DefaultParagraphFont"/>
    <w:link w:val="IntenseQuote"/>
    <w:uiPriority w:val="30"/>
    <w:rsid w:val="001E08DC"/>
    <w:rPr>
      <w:b/>
      <w:i/>
      <w:sz w:val="24"/>
    </w:rPr>
  </w:style>
  <w:style w:type="character" w:styleId="SubtleEmphasis">
    <w:name w:val="Subtle Emphasis"/>
    <w:uiPriority w:val="19"/>
    <w:qFormat/>
    <w:rsid w:val="001E08DC"/>
    <w:rPr>
      <w:i/>
      <w:color w:val="5A5A5A" w:themeColor="text1" w:themeTint="A5"/>
    </w:rPr>
  </w:style>
  <w:style w:type="character" w:styleId="IntenseEmphasis">
    <w:name w:val="Intense Emphasis"/>
    <w:basedOn w:val="DefaultParagraphFont"/>
    <w:uiPriority w:val="21"/>
    <w:qFormat/>
    <w:rsid w:val="001E08DC"/>
    <w:rPr>
      <w:b/>
      <w:i/>
      <w:sz w:val="24"/>
      <w:szCs w:val="24"/>
      <w:u w:val="single"/>
    </w:rPr>
  </w:style>
  <w:style w:type="character" w:styleId="SubtleReference">
    <w:name w:val="Subtle Reference"/>
    <w:basedOn w:val="DefaultParagraphFont"/>
    <w:uiPriority w:val="31"/>
    <w:qFormat/>
    <w:rsid w:val="001E08DC"/>
    <w:rPr>
      <w:sz w:val="24"/>
      <w:szCs w:val="24"/>
      <w:u w:val="single"/>
    </w:rPr>
  </w:style>
  <w:style w:type="character" w:styleId="IntenseReference">
    <w:name w:val="Intense Reference"/>
    <w:basedOn w:val="DefaultParagraphFont"/>
    <w:uiPriority w:val="32"/>
    <w:qFormat/>
    <w:rsid w:val="001E08DC"/>
    <w:rPr>
      <w:b/>
      <w:sz w:val="24"/>
      <w:u w:val="single"/>
    </w:rPr>
  </w:style>
  <w:style w:type="character" w:styleId="BookTitle">
    <w:name w:val="Book Title"/>
    <w:basedOn w:val="DefaultParagraphFont"/>
    <w:uiPriority w:val="33"/>
    <w:qFormat/>
    <w:rsid w:val="001E08DC"/>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1E08DC"/>
    <w:pPr>
      <w:outlineLvl w:val="9"/>
    </w:pPr>
  </w:style>
  <w:style w:type="character" w:styleId="CommentReference">
    <w:name w:val="annotation reference"/>
    <w:basedOn w:val="DefaultParagraphFont"/>
    <w:uiPriority w:val="99"/>
    <w:semiHidden/>
    <w:unhideWhenUsed/>
    <w:rsid w:val="00C012AF"/>
    <w:rPr>
      <w:sz w:val="16"/>
      <w:szCs w:val="16"/>
    </w:rPr>
  </w:style>
  <w:style w:type="paragraph" w:styleId="CommentText">
    <w:name w:val="annotation text"/>
    <w:basedOn w:val="Normal"/>
    <w:link w:val="CommentTextChar"/>
    <w:uiPriority w:val="99"/>
    <w:semiHidden/>
    <w:unhideWhenUsed/>
    <w:rsid w:val="00C012AF"/>
    <w:rPr>
      <w:sz w:val="20"/>
      <w:szCs w:val="20"/>
    </w:rPr>
  </w:style>
  <w:style w:type="character" w:customStyle="1" w:styleId="CommentTextChar">
    <w:name w:val="Comment Text Char"/>
    <w:basedOn w:val="DefaultParagraphFont"/>
    <w:link w:val="CommentText"/>
    <w:uiPriority w:val="99"/>
    <w:semiHidden/>
    <w:rsid w:val="00C012AF"/>
    <w:rPr>
      <w:sz w:val="20"/>
      <w:szCs w:val="20"/>
    </w:rPr>
  </w:style>
  <w:style w:type="paragraph" w:styleId="CommentSubject">
    <w:name w:val="annotation subject"/>
    <w:basedOn w:val="CommentText"/>
    <w:next w:val="CommentText"/>
    <w:link w:val="CommentSubjectChar"/>
    <w:uiPriority w:val="99"/>
    <w:semiHidden/>
    <w:unhideWhenUsed/>
    <w:rsid w:val="00C012AF"/>
    <w:rPr>
      <w:b/>
      <w:bCs/>
    </w:rPr>
  </w:style>
  <w:style w:type="character" w:customStyle="1" w:styleId="CommentSubjectChar">
    <w:name w:val="Comment Subject Char"/>
    <w:basedOn w:val="CommentTextChar"/>
    <w:link w:val="CommentSubject"/>
    <w:uiPriority w:val="99"/>
    <w:semiHidden/>
    <w:rsid w:val="00C012AF"/>
    <w:rPr>
      <w:b/>
      <w:bCs/>
      <w:sz w:val="20"/>
      <w:szCs w:val="20"/>
    </w:rPr>
  </w:style>
  <w:style w:type="paragraph" w:styleId="BalloonText">
    <w:name w:val="Balloon Text"/>
    <w:basedOn w:val="Normal"/>
    <w:link w:val="BalloonTextChar"/>
    <w:uiPriority w:val="99"/>
    <w:semiHidden/>
    <w:unhideWhenUsed/>
    <w:rsid w:val="00C012AF"/>
    <w:rPr>
      <w:rFonts w:ascii="Tahoma" w:hAnsi="Tahoma" w:cs="Tahoma"/>
      <w:sz w:val="16"/>
      <w:szCs w:val="16"/>
    </w:rPr>
  </w:style>
  <w:style w:type="character" w:customStyle="1" w:styleId="BalloonTextChar">
    <w:name w:val="Balloon Text Char"/>
    <w:basedOn w:val="DefaultParagraphFont"/>
    <w:link w:val="BalloonText"/>
    <w:uiPriority w:val="99"/>
    <w:semiHidden/>
    <w:rsid w:val="00C012AF"/>
    <w:rPr>
      <w:rFonts w:ascii="Tahoma" w:hAnsi="Tahoma" w:cs="Tahoma"/>
      <w:sz w:val="16"/>
      <w:szCs w:val="16"/>
    </w:rPr>
  </w:style>
  <w:style w:type="paragraph" w:styleId="FootnoteText">
    <w:name w:val="footnote text"/>
    <w:basedOn w:val="Normal"/>
    <w:link w:val="FootnoteTextChar"/>
    <w:uiPriority w:val="99"/>
    <w:semiHidden/>
    <w:unhideWhenUsed/>
    <w:rsid w:val="004D0A8D"/>
    <w:rPr>
      <w:sz w:val="20"/>
      <w:szCs w:val="20"/>
    </w:rPr>
  </w:style>
  <w:style w:type="character" w:customStyle="1" w:styleId="FootnoteTextChar">
    <w:name w:val="Footnote Text Char"/>
    <w:basedOn w:val="DefaultParagraphFont"/>
    <w:link w:val="FootnoteText"/>
    <w:uiPriority w:val="99"/>
    <w:semiHidden/>
    <w:rsid w:val="004D0A8D"/>
    <w:rPr>
      <w:sz w:val="20"/>
      <w:szCs w:val="20"/>
    </w:rPr>
  </w:style>
  <w:style w:type="character" w:styleId="FootnoteReference">
    <w:name w:val="footnote reference"/>
    <w:basedOn w:val="DefaultParagraphFont"/>
    <w:uiPriority w:val="99"/>
    <w:semiHidden/>
    <w:unhideWhenUsed/>
    <w:rsid w:val="004D0A8D"/>
    <w:rPr>
      <w:vertAlign w:val="superscript"/>
    </w:rPr>
  </w:style>
  <w:style w:type="character" w:styleId="PageNumber">
    <w:name w:val="page number"/>
    <w:basedOn w:val="DefaultParagraphFont"/>
    <w:rsid w:val="003852CB"/>
  </w:style>
  <w:style w:type="paragraph" w:customStyle="1" w:styleId="StyleAfter0pt">
    <w:name w:val="Style After:  0 pt"/>
    <w:basedOn w:val="Normal"/>
    <w:rsid w:val="003852CB"/>
    <w:pPr>
      <w:spacing w:after="120" w:line="360" w:lineRule="auto"/>
      <w:jc w:val="both"/>
    </w:pPr>
    <w:rPr>
      <w:rFonts w:ascii="Verdana" w:eastAsia="MS Mincho" w:hAnsi="Verdana" w:cs="Verdana"/>
      <w:sz w:val="20"/>
      <w:szCs w:val="20"/>
      <w:lang w:bidi="ar-SA"/>
    </w:rPr>
  </w:style>
  <w:style w:type="character" w:styleId="Hyperlink">
    <w:name w:val="Hyperlink"/>
    <w:basedOn w:val="DefaultParagraphFont"/>
    <w:uiPriority w:val="99"/>
    <w:unhideWhenUsed/>
    <w:rsid w:val="008D1F65"/>
    <w:rPr>
      <w:color w:val="0000FF" w:themeColor="hyperlink"/>
      <w:u w:val="single"/>
    </w:rPr>
  </w:style>
  <w:style w:type="paragraph" w:styleId="NormalWeb">
    <w:name w:val="Normal (Web)"/>
    <w:basedOn w:val="Normal"/>
    <w:uiPriority w:val="99"/>
    <w:semiHidden/>
    <w:unhideWhenUsed/>
    <w:rsid w:val="007D0B88"/>
    <w:rPr>
      <w:rFonts w:ascii="Times New Roman" w:hAnsi="Times New Roman"/>
    </w:rPr>
  </w:style>
  <w:style w:type="character" w:customStyle="1" w:styleId="ListParagraphChar">
    <w:name w:val="List Paragraph Char"/>
    <w:aliases w:val="Bullets Char,Paragraphe de liste1 Char,List Paragraph11 Char,List Paragraph1 Char,Para Char,ADB paragraph numbering Char,References Char,stil3 Char,references Char,List Paragraph (numbered (a)) Char,Lapis Bulleted List Char,U  Char"/>
    <w:link w:val="ListParagraph"/>
    <w:uiPriority w:val="1"/>
    <w:qFormat/>
    <w:rsid w:val="00797AAC"/>
    <w:rPr>
      <w:sz w:val="24"/>
      <w:szCs w:val="24"/>
    </w:rPr>
  </w:style>
  <w:style w:type="character" w:customStyle="1" w:styleId="normaltextrun">
    <w:name w:val="normaltextrun"/>
    <w:rsid w:val="00797AAC"/>
  </w:style>
  <w:style w:type="paragraph" w:customStyle="1" w:styleId="Default">
    <w:name w:val="Default"/>
    <w:rsid w:val="00797AAC"/>
    <w:pPr>
      <w:autoSpaceDE w:val="0"/>
      <w:autoSpaceDN w:val="0"/>
      <w:adjustRightInd w:val="0"/>
      <w:spacing w:after="0" w:line="240" w:lineRule="auto"/>
    </w:pPr>
    <w:rPr>
      <w:rFonts w:ascii="Times New Roman" w:eastAsia="Calibri" w:hAnsi="Times New Roman"/>
      <w:color w:val="000000"/>
      <w:sz w:val="24"/>
      <w:szCs w:val="24"/>
      <w:lang w:bidi="ar-SA"/>
    </w:rPr>
  </w:style>
  <w:style w:type="character" w:customStyle="1" w:styleId="TEXTChar">
    <w:name w:val="TEXT Char"/>
    <w:link w:val="TEXT"/>
    <w:rsid w:val="00797AAC"/>
    <w:rPr>
      <w:rFonts w:ascii="Arial" w:hAnsi="Arial"/>
      <w:sz w:val="24"/>
      <w:szCs w:val="24"/>
    </w:rPr>
  </w:style>
  <w:style w:type="paragraph" w:customStyle="1" w:styleId="TEXT">
    <w:name w:val="TEXT"/>
    <w:basedOn w:val="Normal"/>
    <w:link w:val="TEXTChar"/>
    <w:rsid w:val="00797AAC"/>
    <w:pPr>
      <w:adjustRightInd w:val="0"/>
      <w:spacing w:line="360" w:lineRule="auto"/>
      <w:ind w:firstLine="567"/>
      <w:jc w:val="both"/>
    </w:pPr>
    <w:rPr>
      <w:rFonts w:ascii="Arial" w:hAnsi="Arial"/>
    </w:rPr>
  </w:style>
  <w:style w:type="paragraph" w:customStyle="1" w:styleId="paragraph">
    <w:name w:val="paragraph"/>
    <w:basedOn w:val="Normal"/>
    <w:rsid w:val="00291843"/>
    <w:pPr>
      <w:spacing w:before="100" w:beforeAutospacing="1" w:after="100" w:afterAutospacing="1"/>
    </w:pPr>
    <w:rPr>
      <w:rFonts w:ascii="Times New Roman" w:eastAsia="Times New Roman" w:hAnsi="Times New Roman"/>
      <w:lang w:bidi="ar-SA"/>
    </w:rPr>
  </w:style>
  <w:style w:type="character" w:styleId="PlaceholderText">
    <w:name w:val="Placeholder Text"/>
    <w:basedOn w:val="DefaultParagraphFont"/>
    <w:uiPriority w:val="99"/>
    <w:semiHidden/>
    <w:rsid w:val="000C420D"/>
    <w:rPr>
      <w:color w:val="808080"/>
    </w:rPr>
  </w:style>
  <w:style w:type="character" w:styleId="FollowedHyperlink">
    <w:name w:val="FollowedHyperlink"/>
    <w:basedOn w:val="DefaultParagraphFont"/>
    <w:uiPriority w:val="99"/>
    <w:semiHidden/>
    <w:unhideWhenUsed/>
    <w:rsid w:val="00161A2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723315">
      <w:bodyDiv w:val="1"/>
      <w:marLeft w:val="0"/>
      <w:marRight w:val="0"/>
      <w:marTop w:val="0"/>
      <w:marBottom w:val="0"/>
      <w:divBdr>
        <w:top w:val="none" w:sz="0" w:space="0" w:color="auto"/>
        <w:left w:val="none" w:sz="0" w:space="0" w:color="auto"/>
        <w:bottom w:val="none" w:sz="0" w:space="0" w:color="auto"/>
        <w:right w:val="none" w:sz="0" w:space="0" w:color="auto"/>
      </w:divBdr>
      <w:divsChild>
        <w:div w:id="1562718654">
          <w:marLeft w:val="547"/>
          <w:marRight w:val="0"/>
          <w:marTop w:val="67"/>
          <w:marBottom w:val="360"/>
          <w:divBdr>
            <w:top w:val="none" w:sz="0" w:space="0" w:color="auto"/>
            <w:left w:val="none" w:sz="0" w:space="0" w:color="auto"/>
            <w:bottom w:val="none" w:sz="0" w:space="0" w:color="auto"/>
            <w:right w:val="none" w:sz="0" w:space="0" w:color="auto"/>
          </w:divBdr>
        </w:div>
        <w:div w:id="43796549">
          <w:marLeft w:val="1166"/>
          <w:marRight w:val="0"/>
          <w:marTop w:val="67"/>
          <w:marBottom w:val="360"/>
          <w:divBdr>
            <w:top w:val="none" w:sz="0" w:space="0" w:color="auto"/>
            <w:left w:val="none" w:sz="0" w:space="0" w:color="auto"/>
            <w:bottom w:val="none" w:sz="0" w:space="0" w:color="auto"/>
            <w:right w:val="none" w:sz="0" w:space="0" w:color="auto"/>
          </w:divBdr>
        </w:div>
        <w:div w:id="200094926">
          <w:marLeft w:val="1166"/>
          <w:marRight w:val="0"/>
          <w:marTop w:val="67"/>
          <w:marBottom w:val="360"/>
          <w:divBdr>
            <w:top w:val="none" w:sz="0" w:space="0" w:color="auto"/>
            <w:left w:val="none" w:sz="0" w:space="0" w:color="auto"/>
            <w:bottom w:val="none" w:sz="0" w:space="0" w:color="auto"/>
            <w:right w:val="none" w:sz="0" w:space="0" w:color="auto"/>
          </w:divBdr>
        </w:div>
        <w:div w:id="816727325">
          <w:marLeft w:val="1166"/>
          <w:marRight w:val="0"/>
          <w:marTop w:val="67"/>
          <w:marBottom w:val="360"/>
          <w:divBdr>
            <w:top w:val="none" w:sz="0" w:space="0" w:color="auto"/>
            <w:left w:val="none" w:sz="0" w:space="0" w:color="auto"/>
            <w:bottom w:val="none" w:sz="0" w:space="0" w:color="auto"/>
            <w:right w:val="none" w:sz="0" w:space="0" w:color="auto"/>
          </w:divBdr>
        </w:div>
      </w:divsChild>
    </w:div>
    <w:div w:id="1036080554">
      <w:bodyDiv w:val="1"/>
      <w:marLeft w:val="0"/>
      <w:marRight w:val="0"/>
      <w:marTop w:val="0"/>
      <w:marBottom w:val="0"/>
      <w:divBdr>
        <w:top w:val="none" w:sz="0" w:space="0" w:color="auto"/>
        <w:left w:val="none" w:sz="0" w:space="0" w:color="auto"/>
        <w:bottom w:val="none" w:sz="0" w:space="0" w:color="auto"/>
        <w:right w:val="none" w:sz="0" w:space="0" w:color="auto"/>
      </w:divBdr>
      <w:divsChild>
        <w:div w:id="854613406">
          <w:marLeft w:val="547"/>
          <w:marRight w:val="0"/>
          <w:marTop w:val="77"/>
          <w:marBottom w:val="360"/>
          <w:divBdr>
            <w:top w:val="none" w:sz="0" w:space="0" w:color="auto"/>
            <w:left w:val="none" w:sz="0" w:space="0" w:color="auto"/>
            <w:bottom w:val="none" w:sz="0" w:space="0" w:color="auto"/>
            <w:right w:val="none" w:sz="0" w:space="0" w:color="auto"/>
          </w:divBdr>
        </w:div>
        <w:div w:id="508520761">
          <w:marLeft w:val="1166"/>
          <w:marRight w:val="0"/>
          <w:marTop w:val="77"/>
          <w:marBottom w:val="360"/>
          <w:divBdr>
            <w:top w:val="none" w:sz="0" w:space="0" w:color="auto"/>
            <w:left w:val="none" w:sz="0" w:space="0" w:color="auto"/>
            <w:bottom w:val="none" w:sz="0" w:space="0" w:color="auto"/>
            <w:right w:val="none" w:sz="0" w:space="0" w:color="auto"/>
          </w:divBdr>
        </w:div>
        <w:div w:id="611741395">
          <w:marLeft w:val="1166"/>
          <w:marRight w:val="0"/>
          <w:marTop w:val="77"/>
          <w:marBottom w:val="360"/>
          <w:divBdr>
            <w:top w:val="none" w:sz="0" w:space="0" w:color="auto"/>
            <w:left w:val="none" w:sz="0" w:space="0" w:color="auto"/>
            <w:bottom w:val="none" w:sz="0" w:space="0" w:color="auto"/>
            <w:right w:val="none" w:sz="0" w:space="0" w:color="auto"/>
          </w:divBdr>
        </w:div>
        <w:div w:id="751511526">
          <w:marLeft w:val="1166"/>
          <w:marRight w:val="0"/>
          <w:marTop w:val="77"/>
          <w:marBottom w:val="360"/>
          <w:divBdr>
            <w:top w:val="none" w:sz="0" w:space="0" w:color="auto"/>
            <w:left w:val="none" w:sz="0" w:space="0" w:color="auto"/>
            <w:bottom w:val="none" w:sz="0" w:space="0" w:color="auto"/>
            <w:right w:val="none" w:sz="0" w:space="0" w:color="auto"/>
          </w:divBdr>
        </w:div>
      </w:divsChild>
    </w:div>
    <w:div w:id="186929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lobalbioenergy.org/programmeofwork/priority-areas/fi/" TargetMode="External"/><Relationship Id="rId18" Type="http://schemas.openxmlformats.org/officeDocument/2006/relationships/hyperlink" Target="http://www.globalbioenergy.org/programmeofwork/task-force-on-sustainability/en/" TargetMode="External"/><Relationship Id="rId26" Type="http://schemas.openxmlformats.org/officeDocument/2006/relationships/hyperlink" Target="http://www.globalbioenergy.org/programmeofwork/working-group-on-capacity-building-for-sustainable-bioenergy/activity-group-6/ag6-report/fi/" TargetMode="External"/><Relationship Id="rId3" Type="http://schemas.openxmlformats.org/officeDocument/2006/relationships/customXml" Target="../customXml/item3.xml"/><Relationship Id="rId21" Type="http://schemas.openxmlformats.org/officeDocument/2006/relationships/hyperlink" Target="http://www.globalbioenergy.org/programmeofwork/working-group-on-capacity-building-for-sustainable-bioenergy/fi/"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globalbioenergy.org/aboutgbep/partners-membership/en/" TargetMode="External"/><Relationship Id="rId17" Type="http://schemas.openxmlformats.org/officeDocument/2006/relationships/chart" Target="charts/chart2.xml"/><Relationship Id="rId25" Type="http://schemas.openxmlformats.org/officeDocument/2006/relationships/hyperlink" Target="http://www.globalbioenergy.org/programmeofwork/working-group-on-capacity-building-for-sustainable-bioenergy/activity-group-5/fi/"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hyperlink" Target="http://www.globalbioenergy.org/programmeofwork/ghg/en/" TargetMode="External"/><Relationship Id="rId29" Type="http://schemas.openxmlformats.org/officeDocument/2006/relationships/hyperlink" Target="http://www.globalbioenergy.org/programmeofwork/task-force-on-sustainability/bioeconomy/f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lobalbioenergy.org/aboutgbep/partners-membership/en/" TargetMode="External"/><Relationship Id="rId24" Type="http://schemas.openxmlformats.org/officeDocument/2006/relationships/hyperlink" Target="http://www.globalbioenergy.org/programmeofwork/working-group-on-capacity-building-for-sustainable-bioenergy/activity-group-4/fi/"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iea.org/articles/what-does-net-zero-emissions-by-2050-mean-for-bioenergy-and-land-use" TargetMode="External"/><Relationship Id="rId23" Type="http://schemas.openxmlformats.org/officeDocument/2006/relationships/hyperlink" Target="http://www.globalbioenergy.org/programmeofwork/working-group-on-capacity-building-for-sustainable-bioenergy/activity-group-3/fi/" TargetMode="External"/><Relationship Id="rId28" Type="http://schemas.openxmlformats.org/officeDocument/2006/relationships/hyperlink" Target="http://www.globalbioenergy.org/programmeofwork/working-group-on-capacity-building-for-sustainable-bioenergy/activity-group-8/fi/" TargetMode="External"/><Relationship Id="rId10" Type="http://schemas.openxmlformats.org/officeDocument/2006/relationships/endnotes" Target="endnotes.xml"/><Relationship Id="rId19" Type="http://schemas.openxmlformats.org/officeDocument/2006/relationships/hyperlink" Target="http://www.globalbioenergy.org/programmeofwork/working-group-on-capacity-building-for-sustainable-bioenergy/activity-group-2/fi/"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rena.org/publications/2022/Mar/World-Energy-Transitions-Outlook-2022" TargetMode="External"/><Relationship Id="rId22" Type="http://schemas.openxmlformats.org/officeDocument/2006/relationships/hyperlink" Target="http://www.ecreee.org/sites/default/files/documents/basic_page/ecowas_bioenergy_strategy.pdf" TargetMode="External"/><Relationship Id="rId27" Type="http://schemas.openxmlformats.org/officeDocument/2006/relationships/hyperlink" Target="http://www.globalbioenergy.org/programmeofwork/working-group-on-capacity-building-for-sustainable-bioenergy/activity-group-7/fi/"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600" b="1">
                <a:solidFill>
                  <a:schemeClr val="accent6">
                    <a:lumMod val="75000"/>
                  </a:schemeClr>
                </a:solidFill>
              </a:rPr>
              <a:t>GBEP budget 2007-2022 - approx. USD 12 ml</a:t>
            </a:r>
          </a:p>
          <a:p>
            <a:pPr>
              <a:defRPr/>
            </a:pPr>
            <a:endParaRPr lang="en-US" sz="1100"/>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Sheet1!$B$1</c:f>
              <c:strCache>
                <c:ptCount val="1"/>
                <c:pt idx="0">
                  <c:v>YEARS</c:v>
                </c:pt>
              </c:strCache>
            </c:strRef>
          </c:tx>
          <c:spPr>
            <a:solidFill>
              <a:schemeClr val="accent1"/>
            </a:solidFill>
            <a:ln>
              <a:noFill/>
            </a:ln>
            <a:effectLst/>
          </c:spPr>
          <c:invertIfNegative val="0"/>
          <c:cat>
            <c:numRef>
              <c:f>Sheet1!$A$2:$A$17</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Sheet1!$B$2:$B$17</c:f>
              <c:numCache>
                <c:formatCode>#,##0</c:formatCode>
                <c:ptCount val="16"/>
                <c:pt idx="0">
                  <c:v>890000</c:v>
                </c:pt>
                <c:pt idx="1">
                  <c:v>700000</c:v>
                </c:pt>
                <c:pt idx="2">
                  <c:v>850000</c:v>
                </c:pt>
                <c:pt idx="3">
                  <c:v>750000</c:v>
                </c:pt>
                <c:pt idx="4">
                  <c:v>700000</c:v>
                </c:pt>
                <c:pt idx="5">
                  <c:v>1000000</c:v>
                </c:pt>
                <c:pt idx="6">
                  <c:v>637000</c:v>
                </c:pt>
                <c:pt idx="7">
                  <c:v>744000</c:v>
                </c:pt>
                <c:pt idx="8">
                  <c:v>530000</c:v>
                </c:pt>
                <c:pt idx="9">
                  <c:v>690000</c:v>
                </c:pt>
                <c:pt idx="10">
                  <c:v>1172000</c:v>
                </c:pt>
                <c:pt idx="11">
                  <c:v>706000</c:v>
                </c:pt>
                <c:pt idx="12">
                  <c:v>475000</c:v>
                </c:pt>
                <c:pt idx="13">
                  <c:v>472000</c:v>
                </c:pt>
                <c:pt idx="14">
                  <c:v>470000</c:v>
                </c:pt>
                <c:pt idx="15">
                  <c:v>430000</c:v>
                </c:pt>
              </c:numCache>
            </c:numRef>
          </c:val>
          <c:extLst>
            <c:ext xmlns:c16="http://schemas.microsoft.com/office/drawing/2014/chart" uri="{C3380CC4-5D6E-409C-BE32-E72D297353CC}">
              <c16:uniqueId val="{00000000-7D12-4C9C-8011-3BD471850673}"/>
            </c:ext>
          </c:extLst>
        </c:ser>
        <c:ser>
          <c:idx val="1"/>
          <c:order val="1"/>
          <c:tx>
            <c:strRef>
              <c:f>Sheet1!$C$1</c:f>
              <c:strCache>
                <c:ptCount val="1"/>
                <c:pt idx="0">
                  <c:v>Column1</c:v>
                </c:pt>
              </c:strCache>
            </c:strRef>
          </c:tx>
          <c:spPr>
            <a:solidFill>
              <a:schemeClr val="accent2"/>
            </a:solidFill>
            <a:ln>
              <a:noFill/>
            </a:ln>
            <a:effectLst/>
          </c:spPr>
          <c:invertIfNegative val="0"/>
          <c:cat>
            <c:numRef>
              <c:f>Sheet1!$A$2:$A$17</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Sheet1!$C$2:$C$17</c:f>
              <c:numCache>
                <c:formatCode>General</c:formatCode>
                <c:ptCount val="16"/>
              </c:numCache>
            </c:numRef>
          </c:val>
          <c:extLst>
            <c:ext xmlns:c16="http://schemas.microsoft.com/office/drawing/2014/chart" uri="{C3380CC4-5D6E-409C-BE32-E72D297353CC}">
              <c16:uniqueId val="{00000001-7D12-4C9C-8011-3BD471850673}"/>
            </c:ext>
          </c:extLst>
        </c:ser>
        <c:ser>
          <c:idx val="2"/>
          <c:order val="2"/>
          <c:tx>
            <c:strRef>
              <c:f>Sheet1!$D$1</c:f>
              <c:strCache>
                <c:ptCount val="1"/>
                <c:pt idx="0">
                  <c:v>Column2</c:v>
                </c:pt>
              </c:strCache>
            </c:strRef>
          </c:tx>
          <c:spPr>
            <a:solidFill>
              <a:schemeClr val="accent3"/>
            </a:solidFill>
            <a:ln>
              <a:noFill/>
            </a:ln>
            <a:effectLst/>
          </c:spPr>
          <c:invertIfNegative val="0"/>
          <c:cat>
            <c:numRef>
              <c:f>Sheet1!$A$2:$A$17</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Sheet1!$D$2:$D$17</c:f>
              <c:numCache>
                <c:formatCode>General</c:formatCode>
                <c:ptCount val="16"/>
              </c:numCache>
            </c:numRef>
          </c:val>
          <c:extLst>
            <c:ext xmlns:c16="http://schemas.microsoft.com/office/drawing/2014/chart" uri="{C3380CC4-5D6E-409C-BE32-E72D297353CC}">
              <c16:uniqueId val="{00000002-7D12-4C9C-8011-3BD471850673}"/>
            </c:ext>
          </c:extLst>
        </c:ser>
        <c:dLbls>
          <c:showLegendKey val="0"/>
          <c:showVal val="0"/>
          <c:showCatName val="0"/>
          <c:showSerName val="0"/>
          <c:showPercent val="0"/>
          <c:showBubbleSize val="0"/>
        </c:dLbls>
        <c:gapWidth val="150"/>
        <c:overlap val="100"/>
        <c:axId val="521075632"/>
        <c:axId val="521076024"/>
      </c:barChart>
      <c:catAx>
        <c:axId val="521075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1076024"/>
        <c:crosses val="autoZero"/>
        <c:auto val="1"/>
        <c:lblAlgn val="ctr"/>
        <c:lblOffset val="100"/>
        <c:noMultiLvlLbl val="0"/>
      </c:catAx>
      <c:valAx>
        <c:axId val="5210760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1075632"/>
        <c:crosses val="autoZero"/>
        <c:crossBetween val="between"/>
      </c:valAx>
      <c:spPr>
        <a:noFill/>
        <a:ln>
          <a:noFill/>
        </a:ln>
        <a:effectLst/>
      </c:spPr>
    </c:plotArea>
    <c:legend>
      <c:legendPos val="b"/>
      <c:legendEntry>
        <c:idx val="1"/>
        <c:delete val="1"/>
      </c:legendEntry>
      <c:legendEntry>
        <c:idx val="2"/>
        <c:delete val="1"/>
      </c:legendEntry>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r>
              <a:rPr lang="en-US" sz="1600">
                <a:solidFill>
                  <a:schemeClr val="accent6">
                    <a:lumMod val="75000"/>
                  </a:schemeClr>
                </a:solidFill>
              </a:rPr>
              <a:t>GBEP</a:t>
            </a:r>
            <a:r>
              <a:rPr lang="en-US" sz="1600" baseline="0">
                <a:solidFill>
                  <a:schemeClr val="accent6">
                    <a:lumMod val="75000"/>
                  </a:schemeClr>
                </a:solidFill>
              </a:rPr>
              <a:t> </a:t>
            </a:r>
            <a:r>
              <a:rPr lang="en-US" sz="1600">
                <a:solidFill>
                  <a:schemeClr val="accent6">
                    <a:lumMod val="75000"/>
                  </a:schemeClr>
                </a:solidFill>
              </a:rPr>
              <a:t>DONORS </a:t>
            </a:r>
            <a:r>
              <a:rPr lang="en-US">
                <a:solidFill>
                  <a:schemeClr val="accent6">
                    <a:lumMod val="75000"/>
                  </a:schemeClr>
                </a:solidFill>
              </a:rPr>
              <a:t>2007-2022</a:t>
            </a:r>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endParaRPr lang="en-US"/>
        </a:p>
      </c:txPr>
    </c:title>
    <c:autoTitleDeleted val="0"/>
    <c:plotArea>
      <c:layout/>
      <c:pieChart>
        <c:varyColors val="1"/>
        <c:ser>
          <c:idx val="0"/>
          <c:order val="0"/>
          <c:tx>
            <c:strRef>
              <c:f>Sheet1!$B$1</c:f>
              <c:strCache>
                <c:ptCount val="1"/>
                <c:pt idx="0">
                  <c:v>CONTRIBUTIONS</c:v>
                </c:pt>
              </c:strCache>
            </c:strRef>
          </c:tx>
          <c:explosion val="2"/>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extLst>
              <c:ext xmlns:c16="http://schemas.microsoft.com/office/drawing/2014/chart" uri="{C3380CC4-5D6E-409C-BE32-E72D297353CC}">
                <c16:uniqueId val="{00000001-D71F-47F2-922B-22DF9D98DFEA}"/>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extLst>
              <c:ext xmlns:c16="http://schemas.microsoft.com/office/drawing/2014/chart" uri="{C3380CC4-5D6E-409C-BE32-E72D297353CC}">
                <c16:uniqueId val="{00000003-D71F-47F2-922B-22DF9D98DFEA}"/>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extLst>
              <c:ext xmlns:c16="http://schemas.microsoft.com/office/drawing/2014/chart" uri="{C3380CC4-5D6E-409C-BE32-E72D297353CC}">
                <c16:uniqueId val="{00000005-D71F-47F2-922B-22DF9D98DFEA}"/>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c:spPr>
            <c:extLst>
              <c:ext xmlns:c16="http://schemas.microsoft.com/office/drawing/2014/chart" uri="{C3380CC4-5D6E-409C-BE32-E72D297353CC}">
                <c16:uniqueId val="{00000007-D71F-47F2-922B-22DF9D98DFEA}"/>
              </c:ext>
            </c:extLst>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c:spPr>
            <c:extLst>
              <c:ext xmlns:c16="http://schemas.microsoft.com/office/drawing/2014/chart" uri="{C3380CC4-5D6E-409C-BE32-E72D297353CC}">
                <c16:uniqueId val="{00000009-D71F-47F2-922B-22DF9D98DFEA}"/>
              </c:ext>
            </c:extLst>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c:spPr>
            <c:extLst>
              <c:ext xmlns:c16="http://schemas.microsoft.com/office/drawing/2014/chart" uri="{C3380CC4-5D6E-409C-BE32-E72D297353CC}">
                <c16:uniqueId val="{0000000B-D71F-47F2-922B-22DF9D98DFEA}"/>
              </c:ext>
            </c:extLst>
          </c:dPt>
          <c:dPt>
            <c:idx val="6"/>
            <c:bubble3D val="0"/>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c:spPr>
            <c:extLst>
              <c:ext xmlns:c16="http://schemas.microsoft.com/office/drawing/2014/chart" uri="{C3380CC4-5D6E-409C-BE32-E72D297353CC}">
                <c16:uniqueId val="{0000000D-D71F-47F2-922B-22DF9D98DFEA}"/>
              </c:ext>
            </c:extLst>
          </c:dPt>
          <c:dPt>
            <c:idx val="7"/>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c:spPr>
            <c:extLst>
              <c:ext xmlns:c16="http://schemas.microsoft.com/office/drawing/2014/chart" uri="{C3380CC4-5D6E-409C-BE32-E72D297353CC}">
                <c16:uniqueId val="{0000000F-D71F-47F2-922B-22DF9D98DFEA}"/>
              </c:ext>
            </c:extLst>
          </c:dPt>
          <c:dPt>
            <c:idx val="8"/>
            <c:bubble3D val="0"/>
            <c:spPr>
              <a:gradFill rotWithShape="1">
                <a:gsLst>
                  <a:gs pos="0">
                    <a:schemeClr val="accent3">
                      <a:lumMod val="60000"/>
                      <a:satMod val="103000"/>
                      <a:lumMod val="102000"/>
                      <a:tint val="94000"/>
                    </a:schemeClr>
                  </a:gs>
                  <a:gs pos="50000">
                    <a:schemeClr val="accent3">
                      <a:lumMod val="60000"/>
                      <a:satMod val="110000"/>
                      <a:lumMod val="100000"/>
                      <a:shade val="100000"/>
                    </a:schemeClr>
                  </a:gs>
                  <a:gs pos="100000">
                    <a:schemeClr val="accent3">
                      <a:lumMod val="60000"/>
                      <a:lumMod val="99000"/>
                      <a:satMod val="120000"/>
                      <a:shade val="78000"/>
                    </a:schemeClr>
                  </a:gs>
                </a:gsLst>
                <a:lin ang="5400000" scaled="0"/>
              </a:gradFill>
              <a:ln>
                <a:noFill/>
              </a:ln>
              <a:effectLst/>
            </c:spPr>
            <c:extLst>
              <c:ext xmlns:c16="http://schemas.microsoft.com/office/drawing/2014/chart" uri="{C3380CC4-5D6E-409C-BE32-E72D297353CC}">
                <c16:uniqueId val="{00000011-D71F-47F2-922B-22DF9D98DFEA}"/>
              </c:ext>
            </c:extLst>
          </c:dPt>
          <c:dLbls>
            <c:dLbl>
              <c:idx val="3"/>
              <c:layout>
                <c:manualLayout>
                  <c:x val="4.6879887037616239E-2"/>
                  <c:y val="9.2889042163803864E-2"/>
                </c:manualLayout>
              </c:layout>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D71F-47F2-922B-22DF9D98DFEA}"/>
                </c:ext>
              </c:extLst>
            </c:dLbl>
            <c:dLbl>
              <c:idx val="4"/>
              <c:layout>
                <c:manualLayout>
                  <c:x val="2.8224832974795021E-2"/>
                  <c:y val="8.0738946093276739E-2"/>
                </c:manualLayout>
              </c:layout>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9-D71F-47F2-922B-22DF9D98DFEA}"/>
                </c:ext>
              </c:extLst>
            </c:dLbl>
            <c:dLbl>
              <c:idx val="5"/>
              <c:layout>
                <c:manualLayout>
                  <c:x val="1.7788090997107004E-2"/>
                  <c:y val="8.2248543002790761E-2"/>
                </c:manualLayout>
              </c:layout>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B-D71F-47F2-922B-22DF9D98DFEA}"/>
                </c:ext>
              </c:extLst>
            </c:dLbl>
            <c:dLbl>
              <c:idx val="6"/>
              <c:layout>
                <c:manualLayout>
                  <c:x val="1.6135136727127315E-2"/>
                  <c:y val="9.549874079505237E-2"/>
                </c:manualLayout>
              </c:layout>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D-D71F-47F2-922B-22DF9D98DFEA}"/>
                </c:ext>
              </c:extLst>
            </c:dLbl>
            <c:dLbl>
              <c:idx val="7"/>
              <c:layout>
                <c:manualLayout>
                  <c:x val="4.1846523478098759E-4"/>
                  <c:y val="7.4057769830666642E-2"/>
                </c:manualLayout>
              </c:layout>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F-D71F-47F2-922B-22DF9D98DFEA}"/>
                </c:ext>
              </c:extLst>
            </c:dLbl>
            <c:dLbl>
              <c:idx val="8"/>
              <c:delete val="1"/>
              <c:extLst>
                <c:ext xmlns:c15="http://schemas.microsoft.com/office/drawing/2012/chart" uri="{CE6537A1-D6FC-4f65-9D91-7224C49458BB}"/>
                <c:ext xmlns:c16="http://schemas.microsoft.com/office/drawing/2014/chart" uri="{C3380CC4-5D6E-409C-BE32-E72D297353CC}">
                  <c16:uniqueId val="{00000011-D71F-47F2-922B-22DF9D98DFE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15:layout/>
              </c:ext>
            </c:extLst>
          </c:dLbls>
          <c:cat>
            <c:strRef>
              <c:f>Sheet1!$A$2:$A$10</c:f>
              <c:strCache>
                <c:ptCount val="9"/>
                <c:pt idx="0">
                  <c:v>ITALY</c:v>
                </c:pt>
                <c:pt idx="1">
                  <c:v>GERMANY</c:v>
                </c:pt>
                <c:pt idx="2">
                  <c:v>EC-H2020</c:v>
                </c:pt>
                <c:pt idx="3">
                  <c:v>USA</c:v>
                </c:pt>
                <c:pt idx="4">
                  <c:v>NL</c:v>
                </c:pt>
                <c:pt idx="5">
                  <c:v>BRAZIL</c:v>
                </c:pt>
                <c:pt idx="6">
                  <c:v>FAO</c:v>
                </c:pt>
                <c:pt idx="7">
                  <c:v>UK</c:v>
                </c:pt>
                <c:pt idx="8">
                  <c:v>SWEDEN</c:v>
                </c:pt>
              </c:strCache>
            </c:strRef>
          </c:cat>
          <c:val>
            <c:numRef>
              <c:f>Sheet1!$B$2:$B$10</c:f>
              <c:numCache>
                <c:formatCode>#,##0</c:formatCode>
                <c:ptCount val="9"/>
                <c:pt idx="0">
                  <c:v>5500000</c:v>
                </c:pt>
                <c:pt idx="1">
                  <c:v>3300000</c:v>
                </c:pt>
                <c:pt idx="2">
                  <c:v>1170000</c:v>
                </c:pt>
                <c:pt idx="3">
                  <c:v>640000</c:v>
                </c:pt>
                <c:pt idx="4">
                  <c:v>258000</c:v>
                </c:pt>
                <c:pt idx="5">
                  <c:v>200000</c:v>
                </c:pt>
                <c:pt idx="6">
                  <c:v>145000</c:v>
                </c:pt>
                <c:pt idx="7">
                  <c:v>82000</c:v>
                </c:pt>
                <c:pt idx="8">
                  <c:v>15000</c:v>
                </c:pt>
              </c:numCache>
            </c:numRef>
          </c:val>
          <c:extLst>
            <c:ext xmlns:c16="http://schemas.microsoft.com/office/drawing/2014/chart" uri="{C3380CC4-5D6E-409C-BE32-E72D297353CC}">
              <c16:uniqueId val="{00000012-D71F-47F2-922B-22DF9D98DFEA}"/>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b"/>
      <c:layout>
        <c:manualLayout>
          <c:xMode val="edge"/>
          <c:yMode val="edge"/>
          <c:x val="3.3623809370868646E-2"/>
          <c:y val="0.85798144382732056"/>
          <c:w val="0.9371618647988702"/>
          <c:h val="0.14201855617267944"/>
        </c:manualLayout>
      </c:layout>
      <c:overlay val="0"/>
      <c:spPr>
        <a:noFill/>
        <a:ln>
          <a:noFill/>
        </a:ln>
        <a:effectLst/>
      </c:spPr>
      <c:txPr>
        <a:bodyPr rot="0" spcFirstLastPara="1" vertOverflow="ellipsis" vert="horz" wrap="square" anchor="ctr" anchorCtr="1"/>
        <a:lstStyle/>
        <a:p>
          <a:pPr>
            <a:defRPr sz="1100" b="0" i="0" u="none" strike="noStrike" kern="1200" baseline="0">
              <a:solidFill>
                <a:schemeClr val="tx2"/>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drawings/drawing1.xml><?xml version="1.0" encoding="utf-8"?>
<c:userShapes xmlns:c="http://schemas.openxmlformats.org/drawingml/2006/chart">
  <cdr:relSizeAnchor xmlns:cdr="http://schemas.openxmlformats.org/drawingml/2006/chartDrawing">
    <cdr:from>
      <cdr:x>0.62733</cdr:x>
      <cdr:y>0.10066</cdr:y>
    </cdr:from>
    <cdr:to>
      <cdr:x>0.95717</cdr:x>
      <cdr:y>0.26903</cdr:y>
    </cdr:to>
    <cdr:sp macro="" textlink="">
      <cdr:nvSpPr>
        <cdr:cNvPr id="2" name="Rounded Rectangle 1"/>
        <cdr:cNvSpPr/>
      </cdr:nvSpPr>
      <cdr:spPr bwMode="auto">
        <a:xfrm xmlns:a="http://schemas.openxmlformats.org/drawingml/2006/main">
          <a:off x="3613501" y="375066"/>
          <a:ext cx="1899906" cy="627377"/>
        </a:xfrm>
        <a:prstGeom xmlns:a="http://schemas.openxmlformats.org/drawingml/2006/main" prst="roundRect">
          <a:avLst/>
        </a:prstGeom>
        <a:solidFill xmlns:a="http://schemas.openxmlformats.org/drawingml/2006/main">
          <a:schemeClr val="accent1"/>
        </a:solidFill>
        <a:ln xmlns:a="http://schemas.openxmlformats.org/drawingml/2006/main" w="9525" cap="flat" cmpd="sng" algn="ctr">
          <a:solidFill>
            <a:schemeClr val="tx1"/>
          </a:solidFill>
          <a:prstDash val="solid"/>
          <a:round/>
          <a:headEnd type="none" w="med" len="med"/>
          <a:tailEnd type="none" w="med" len="med"/>
        </a:ln>
        <a:effectLst xmlns:a="http://schemas.openxmlformats.org/drawingml/2006/main"/>
      </cdr:spPr>
      <cdr:txBody>
        <a:bodyPr xmlns:a="http://schemas.openxmlformats.org/drawingml/2006/main" vert="horz" wrap="square" lIns="91440" tIns="45720" rIns="91440" bIns="45720" numCol="1" rtlCol="0" anchor="t" anchorCtr="0" compatLnSpc="1">
          <a:prstTxWarp prst="textNoShape">
            <a:avLst/>
          </a:prstTxWarp>
        </a:bodyPr>
        <a:lstStyle xmlns:a="http://schemas.openxmlformats.org/drawingml/2006/main">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xmlns:a="http://schemas.openxmlformats.org/drawingml/2006/main">
          <a:pPr algn="ctr" fontAlgn="base">
            <a:spcBef>
              <a:spcPct val="0"/>
            </a:spcBef>
            <a:spcAft>
              <a:spcPct val="0"/>
            </a:spcAft>
          </a:pPr>
          <a:r>
            <a:rPr lang="en-US" sz="800" b="1" dirty="0">
              <a:latin typeface="Arial" charset="0"/>
            </a:rPr>
            <a:t>2016 – 2018</a:t>
          </a:r>
        </a:p>
        <a:p xmlns:a="http://schemas.openxmlformats.org/drawingml/2006/main">
          <a:pPr algn="ctr" fontAlgn="base">
            <a:spcBef>
              <a:spcPct val="0"/>
            </a:spcBef>
            <a:spcAft>
              <a:spcPct val="0"/>
            </a:spcAft>
          </a:pPr>
          <a:r>
            <a:rPr lang="en-US" sz="800" b="1" dirty="0">
              <a:latin typeface="Arial" charset="0"/>
            </a:rPr>
            <a:t>Project in Viet Nam and Paraguay</a:t>
          </a:r>
        </a:p>
        <a:p xmlns:a="http://schemas.openxmlformats.org/drawingml/2006/main">
          <a:pPr algn="ctr" fontAlgn="base">
            <a:spcBef>
              <a:spcPct val="0"/>
            </a:spcBef>
            <a:spcAft>
              <a:spcPct val="0"/>
            </a:spcAft>
          </a:pPr>
          <a:endParaRPr lang="en-US" sz="300" b="1" dirty="0">
            <a:latin typeface="Arial" charset="0"/>
          </a:endParaRPr>
        </a:p>
        <a:p xmlns:a="http://schemas.openxmlformats.org/drawingml/2006/main">
          <a:pPr algn="ctr" fontAlgn="base">
            <a:spcBef>
              <a:spcPct val="0"/>
            </a:spcBef>
            <a:spcAft>
              <a:spcPct val="0"/>
            </a:spcAft>
          </a:pPr>
          <a:r>
            <a:rPr lang="en-US" sz="800" b="1" dirty="0">
              <a:latin typeface="Arial" charset="0"/>
            </a:rPr>
            <a:t> 2016-2022</a:t>
          </a:r>
        </a:p>
        <a:p xmlns:a="http://schemas.openxmlformats.org/drawingml/2006/main">
          <a:pPr algn="ctr" fontAlgn="base">
            <a:spcBef>
              <a:spcPct val="0"/>
            </a:spcBef>
            <a:spcAft>
              <a:spcPct val="0"/>
            </a:spcAft>
          </a:pPr>
          <a:r>
            <a:rPr lang="en-US" sz="800" b="1" dirty="0">
              <a:latin typeface="Arial" charset="0"/>
            </a:rPr>
            <a:t>EU H2020 Projects</a:t>
          </a:r>
        </a:p>
        <a:p xmlns:a="http://schemas.openxmlformats.org/drawingml/2006/main">
          <a:pPr algn="ctr" fontAlgn="base">
            <a:spcBef>
              <a:spcPct val="0"/>
            </a:spcBef>
            <a:spcAft>
              <a:spcPct val="0"/>
            </a:spcAft>
          </a:pPr>
          <a:endParaRPr lang="en-US" b="1" dirty="0">
            <a:latin typeface="Arial" charset="0"/>
          </a:endParaRPr>
        </a:p>
      </cdr:txBody>
    </cdr:sp>
  </cdr:relSizeAnchor>
  <cdr:relSizeAnchor xmlns:cdr="http://schemas.openxmlformats.org/drawingml/2006/chartDrawing">
    <cdr:from>
      <cdr:x>0.33055</cdr:x>
      <cdr:y>0.1705</cdr:y>
    </cdr:from>
    <cdr:to>
      <cdr:x>0.56321</cdr:x>
      <cdr:y>0.33502</cdr:y>
    </cdr:to>
    <cdr:sp macro="" textlink="">
      <cdr:nvSpPr>
        <cdr:cNvPr id="3" name="Rounded Rectangle 2"/>
        <cdr:cNvSpPr/>
      </cdr:nvSpPr>
      <cdr:spPr bwMode="auto">
        <a:xfrm xmlns:a="http://schemas.openxmlformats.org/drawingml/2006/main">
          <a:off x="1904005" y="635318"/>
          <a:ext cx="1340127" cy="613037"/>
        </a:xfrm>
        <a:prstGeom xmlns:a="http://schemas.openxmlformats.org/drawingml/2006/main" prst="roundRect">
          <a:avLst/>
        </a:prstGeom>
        <a:solidFill xmlns:a="http://schemas.openxmlformats.org/drawingml/2006/main">
          <a:schemeClr val="accent1"/>
        </a:solidFill>
        <a:ln xmlns:a="http://schemas.openxmlformats.org/drawingml/2006/main" w="9525" cap="flat" cmpd="sng" algn="ctr">
          <a:solidFill>
            <a:schemeClr val="tx1"/>
          </a:solidFill>
          <a:prstDash val="solid"/>
          <a:round/>
          <a:headEnd type="none" w="med" len="med"/>
          <a:tailEnd type="none" w="med" len="med"/>
        </a:ln>
        <a:effectLst xmlns:a="http://schemas.openxmlformats.org/drawingml/2006/main"/>
      </cdr:spPr>
      <cdr:txBody>
        <a:bodyPr xmlns:a="http://schemas.openxmlformats.org/drawingml/2006/main" vert="horz" wrap="square" lIns="91440" tIns="45720" rIns="91440" bIns="45720" numCol="1" rtlCol="0" anchor="t" anchorCtr="0" compatLnSpc="1">
          <a:prstTxWarp prst="textNoShape">
            <a:avLst/>
          </a:prstTxWarp>
        </a:bodyPr>
        <a:lstStyle xmlns:a="http://schemas.openxmlformats.org/drawingml/2006/main">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xmlns:a="http://schemas.openxmlformats.org/drawingml/2006/main">
          <a:pPr algn="ctr" fontAlgn="base">
            <a:spcBef>
              <a:spcPct val="0"/>
            </a:spcBef>
            <a:spcAft>
              <a:spcPct val="0"/>
            </a:spcAft>
          </a:pPr>
          <a:r>
            <a:rPr lang="en-US" sz="800" b="1" dirty="0">
              <a:latin typeface="Arial" charset="0"/>
            </a:rPr>
            <a:t>2011 – 2014</a:t>
          </a:r>
        </a:p>
        <a:p xmlns:a="http://schemas.openxmlformats.org/drawingml/2006/main">
          <a:pPr algn="ctr" fontAlgn="base">
            <a:spcBef>
              <a:spcPct val="0"/>
            </a:spcBef>
            <a:spcAft>
              <a:spcPct val="0"/>
            </a:spcAft>
          </a:pPr>
          <a:r>
            <a:rPr lang="en-US" sz="800" b="1" dirty="0">
              <a:latin typeface="Arial" charset="0"/>
            </a:rPr>
            <a:t>Project in Colombia and Indonesia </a:t>
          </a:r>
        </a:p>
        <a:p xmlns:a="http://schemas.openxmlformats.org/drawingml/2006/main">
          <a:pPr algn="ctr" fontAlgn="base">
            <a:spcBef>
              <a:spcPct val="0"/>
            </a:spcBef>
            <a:spcAft>
              <a:spcPct val="0"/>
            </a:spcAft>
          </a:pPr>
          <a:endParaRPr lang="en-US" sz="300" b="1" dirty="0">
            <a:latin typeface="Arial" charset="0"/>
          </a:endParaRPr>
        </a:p>
        <a:p xmlns:a="http://schemas.openxmlformats.org/drawingml/2006/main">
          <a:pPr algn="ctr" fontAlgn="base">
            <a:spcBef>
              <a:spcPct val="0"/>
            </a:spcBef>
            <a:spcAft>
              <a:spcPct val="0"/>
            </a:spcAft>
          </a:pPr>
          <a:r>
            <a:rPr lang="en-US" sz="800" b="1" dirty="0">
              <a:latin typeface="Arial" charset="0"/>
            </a:rPr>
            <a:t> Project in  ECOWAS</a:t>
          </a:r>
        </a:p>
        <a:p xmlns:a="http://schemas.openxmlformats.org/drawingml/2006/main">
          <a:pPr algn="ctr" fontAlgn="base">
            <a:spcBef>
              <a:spcPct val="0"/>
            </a:spcBef>
            <a:spcAft>
              <a:spcPct val="0"/>
            </a:spcAft>
          </a:pPr>
          <a:endParaRPr lang="en-US" b="1" dirty="0">
            <a:latin typeface="Arial"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70B13E1B46894987A56CE1DAEBC7BE" ma:contentTypeVersion="12" ma:contentTypeDescription="Create a new document." ma:contentTypeScope="" ma:versionID="47d4fea00a3fb31adbbecd84d0399868">
  <xsd:schema xmlns:xsd="http://www.w3.org/2001/XMLSchema" xmlns:xs="http://www.w3.org/2001/XMLSchema" xmlns:p="http://schemas.microsoft.com/office/2006/metadata/properties" xmlns:ns2="cc7ce8ca-8f52-44ec-9496-3c41d0f5ad18" xmlns:ns3="5ef6eb03-9133-4e0c-85f7-7fcffca7dd31" targetNamespace="http://schemas.microsoft.com/office/2006/metadata/properties" ma:root="true" ma:fieldsID="ef760895eb7adf04360e39c235957fac" ns2:_="" ns3:_="">
    <xsd:import namespace="cc7ce8ca-8f52-44ec-9496-3c41d0f5ad18"/>
    <xsd:import namespace="5ef6eb03-9133-4e0c-85f7-7fcffca7dd3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7ce8ca-8f52-44ec-9496-3c41d0f5ad1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ef6eb03-9133-4e0c-85f7-7fcffca7dd3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15A09C-0AFD-4D2C-906E-999615CBFE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7ce8ca-8f52-44ec-9496-3c41d0f5ad18"/>
    <ds:schemaRef ds:uri="5ef6eb03-9133-4e0c-85f7-7fcffca7dd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159ED7-4230-4B60-B18A-CF4CD82BC2BA}">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5ef6eb03-9133-4e0c-85f7-7fcffca7dd31"/>
    <ds:schemaRef ds:uri="cc7ce8ca-8f52-44ec-9496-3c41d0f5ad18"/>
    <ds:schemaRef ds:uri="http://www.w3.org/XML/1998/namespace"/>
  </ds:schemaRefs>
</ds:datastoreItem>
</file>

<file path=customXml/itemProps3.xml><?xml version="1.0" encoding="utf-8"?>
<ds:datastoreItem xmlns:ds="http://schemas.openxmlformats.org/officeDocument/2006/customXml" ds:itemID="{39A9B17A-CC53-4E0E-8D37-537B6EDB27EC}">
  <ds:schemaRefs>
    <ds:schemaRef ds:uri="http://schemas.microsoft.com/sharepoint/v3/contenttype/forms"/>
  </ds:schemaRefs>
</ds:datastoreItem>
</file>

<file path=customXml/itemProps4.xml><?xml version="1.0" encoding="utf-8"?>
<ds:datastoreItem xmlns:ds="http://schemas.openxmlformats.org/officeDocument/2006/customXml" ds:itemID="{56A2966F-90B2-4172-A248-01B3E271D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1259</Words>
  <Characters>7182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 Schnetzer (NRC)</dc:creator>
  <cp:keywords/>
  <dc:description/>
  <cp:lastModifiedBy>Morese, Michela (OCB)</cp:lastModifiedBy>
  <cp:revision>2</cp:revision>
  <dcterms:created xsi:type="dcterms:W3CDTF">2022-04-29T12:55:00Z</dcterms:created>
  <dcterms:modified xsi:type="dcterms:W3CDTF">2022-04-29T12:55:00Z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0x0101004C70B13E1B46894987A56CE1DAEBC7BE</vt:lpwstr>
  </property>
</Properties>
</file>