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977" w:rsidRPr="00130C25" w:rsidRDefault="00D11977" w:rsidP="00D11977">
      <w:pPr>
        <w:rPr>
          <w:b/>
          <w:bCs/>
          <w:u w:val="single"/>
          <w:lang w:val="fr-FR"/>
        </w:rPr>
      </w:pPr>
      <w:r w:rsidRPr="00130C25">
        <w:rPr>
          <w:b/>
          <w:bCs/>
          <w:u w:val="single"/>
          <w:lang w:val="fr-FR"/>
        </w:rPr>
        <w:t>Les éléments à prendre en compte pour le Togo à l’issue de la visite de terrain</w:t>
      </w:r>
    </w:p>
    <w:p w:rsidR="00D11977" w:rsidRDefault="00D11977" w:rsidP="00D11977">
      <w:pPr>
        <w:rPr>
          <w:b/>
          <w:bCs/>
          <w:lang w:val="fr-FR"/>
        </w:rPr>
      </w:pPr>
    </w:p>
    <w:p w:rsidR="00D11977" w:rsidRDefault="00130C25" w:rsidP="00D11977">
      <w:pPr>
        <w:rPr>
          <w:b/>
          <w:bCs/>
          <w:lang w:val="fr-FR"/>
        </w:rPr>
      </w:pPr>
      <w:r>
        <w:rPr>
          <w:b/>
          <w:bCs/>
          <w:lang w:val="fr-FR"/>
        </w:rPr>
        <w:t>Au niveau du G</w:t>
      </w:r>
      <w:r w:rsidR="00D11977">
        <w:rPr>
          <w:b/>
          <w:bCs/>
          <w:lang w:val="fr-FR"/>
        </w:rPr>
        <w:t>ouvernement</w:t>
      </w:r>
    </w:p>
    <w:p w:rsidR="00D11977" w:rsidRPr="00243FE8"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 xml:space="preserve">Fort engagement des autorités locales pour avoir certaines facilités d’accès </w:t>
      </w:r>
      <w:proofErr w:type="spellStart"/>
      <w:r w:rsidRPr="00243FE8">
        <w:rPr>
          <w:rFonts w:ascii="Arial Narrow" w:hAnsi="Arial Narrow"/>
          <w:szCs w:val="24"/>
          <w:lang w:val="fr-FR"/>
        </w:rPr>
        <w:t>a</w:t>
      </w:r>
      <w:proofErr w:type="spellEnd"/>
      <w:r w:rsidRPr="00243FE8">
        <w:rPr>
          <w:rFonts w:ascii="Arial Narrow" w:hAnsi="Arial Narrow"/>
          <w:szCs w:val="24"/>
          <w:lang w:val="fr-FR"/>
        </w:rPr>
        <w:t xml:space="preserve"> la terre et aussi les collectivités</w:t>
      </w:r>
      <w:r>
        <w:rPr>
          <w:rFonts w:ascii="Arial Narrow" w:hAnsi="Arial Narrow"/>
          <w:szCs w:val="24"/>
          <w:lang w:val="fr-FR"/>
        </w:rPr>
        <w:t xml:space="preserve"> à</w:t>
      </w:r>
      <w:r w:rsidRPr="00243FE8">
        <w:rPr>
          <w:rFonts w:ascii="Arial Narrow" w:hAnsi="Arial Narrow"/>
          <w:szCs w:val="24"/>
          <w:lang w:val="fr-FR"/>
        </w:rPr>
        <w:t xml:space="preserve"> créer un cadre favorable de restauration</w:t>
      </w:r>
    </w:p>
    <w:p w:rsidR="00D11977"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Mise en place des mécanismes de financement à la base avec l’octroi des crédits a des taux concessionnaires</w:t>
      </w:r>
    </w:p>
    <w:p w:rsidR="00D11977" w:rsidRPr="00130C25" w:rsidRDefault="00D11977" w:rsidP="00E613C0">
      <w:pPr>
        <w:pStyle w:val="Paragraphedeliste"/>
        <w:numPr>
          <w:ilvl w:val="0"/>
          <w:numId w:val="1"/>
        </w:numPr>
        <w:ind w:left="604"/>
        <w:jc w:val="both"/>
        <w:rPr>
          <w:rFonts w:ascii="Arial Narrow" w:hAnsi="Arial Narrow"/>
          <w:szCs w:val="24"/>
          <w:lang w:val="fr-FR"/>
        </w:rPr>
      </w:pPr>
      <w:r w:rsidRPr="00130C25">
        <w:rPr>
          <w:rFonts w:ascii="Arial Narrow" w:hAnsi="Arial Narrow"/>
          <w:szCs w:val="24"/>
          <w:lang w:val="fr-FR"/>
        </w:rPr>
        <w:t>Rechercher l'outil de plaidoyer afin d'influencer le gouvernement à fournir un sou</w:t>
      </w:r>
      <w:r w:rsidRPr="00130C25">
        <w:rPr>
          <w:rFonts w:ascii="Arial Narrow" w:hAnsi="Arial Narrow"/>
          <w:szCs w:val="24"/>
          <w:lang w:val="fr-FR"/>
        </w:rPr>
        <w:t>tien direct et efficace aux OPFA</w:t>
      </w:r>
      <w:r w:rsidR="00130C25" w:rsidRPr="00130C25">
        <w:rPr>
          <w:rFonts w:ascii="Arial Narrow" w:hAnsi="Arial Narrow"/>
          <w:szCs w:val="24"/>
          <w:lang w:val="fr-FR"/>
        </w:rPr>
        <w:t>.</w:t>
      </w:r>
    </w:p>
    <w:p w:rsidR="00D11977" w:rsidRPr="00D11977" w:rsidRDefault="00D11977" w:rsidP="00D11977">
      <w:pPr>
        <w:rPr>
          <w:b/>
          <w:bCs/>
          <w:lang w:val="fr-FR"/>
        </w:rPr>
      </w:pPr>
    </w:p>
    <w:p w:rsidR="00D11977" w:rsidRPr="00D11977" w:rsidRDefault="00D11977" w:rsidP="00D11977">
      <w:pPr>
        <w:jc w:val="both"/>
        <w:rPr>
          <w:rFonts w:ascii="Arial Narrow" w:hAnsi="Arial Narrow"/>
          <w:szCs w:val="24"/>
          <w:lang w:val="fr-FR"/>
        </w:rPr>
      </w:pPr>
      <w:r w:rsidRPr="00D11977">
        <w:rPr>
          <w:b/>
          <w:bCs/>
          <w:lang w:val="fr-FR"/>
        </w:rPr>
        <w:t>Sur le plan économique</w:t>
      </w:r>
      <w:r w:rsidRPr="00D11977">
        <w:rPr>
          <w:rFonts w:ascii="Arial Narrow" w:hAnsi="Arial Narrow"/>
          <w:szCs w:val="24"/>
          <w:lang w:val="fr-FR"/>
        </w:rPr>
        <w:t xml:space="preserve"> </w:t>
      </w:r>
    </w:p>
    <w:p w:rsidR="00D11977" w:rsidRPr="00243FE8"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Maitrise des potentialités locales existantes et l’utilisation des ressources potentiellement disponibles</w:t>
      </w:r>
    </w:p>
    <w:p w:rsidR="00D11977"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Diversification des activités génératrices</w:t>
      </w:r>
      <w:r>
        <w:rPr>
          <w:rFonts w:ascii="Arial Narrow" w:hAnsi="Arial Narrow"/>
          <w:szCs w:val="24"/>
          <w:lang w:val="fr-FR"/>
        </w:rPr>
        <w:t xml:space="preserve"> de revenus à côté</w:t>
      </w:r>
      <w:r w:rsidRPr="00243FE8">
        <w:rPr>
          <w:rFonts w:ascii="Arial Narrow" w:hAnsi="Arial Narrow"/>
          <w:szCs w:val="24"/>
          <w:lang w:val="fr-FR"/>
        </w:rPr>
        <w:t xml:space="preserve">s des activités de restauration forestières </w:t>
      </w:r>
      <w:r>
        <w:rPr>
          <w:rFonts w:ascii="Arial Narrow" w:hAnsi="Arial Narrow"/>
          <w:szCs w:val="24"/>
          <w:lang w:val="fr-FR"/>
        </w:rPr>
        <w:t xml:space="preserve">qui ont </w:t>
      </w:r>
      <w:r w:rsidRPr="00243FE8">
        <w:rPr>
          <w:rFonts w:ascii="Arial Narrow" w:hAnsi="Arial Narrow"/>
          <w:szCs w:val="24"/>
          <w:lang w:val="fr-FR"/>
        </w:rPr>
        <w:t>une longue durée</w:t>
      </w:r>
      <w:r>
        <w:rPr>
          <w:rFonts w:ascii="Arial Narrow" w:hAnsi="Arial Narrow"/>
          <w:szCs w:val="24"/>
          <w:lang w:val="fr-FR"/>
        </w:rPr>
        <w:t xml:space="preserve"> d’exécution</w:t>
      </w:r>
    </w:p>
    <w:p w:rsidR="00D11977"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Développer un partenariat équilibré entre les op et les entreprises qui en retour doivent renforcer leurs capacités et celles des op pour les produits de qualités /certifies</w:t>
      </w:r>
    </w:p>
    <w:p w:rsidR="00D11977"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L’approche chaine de valeur avec un accent sur la transformation permet d’apporter une valeur ajoute et accroit l’emploi des jeunes et femmes pour un développement local</w:t>
      </w:r>
    </w:p>
    <w:p w:rsidR="00D11977" w:rsidRDefault="00D11977" w:rsidP="00D11977">
      <w:pPr>
        <w:pStyle w:val="Paragraphedeliste"/>
        <w:numPr>
          <w:ilvl w:val="0"/>
          <w:numId w:val="1"/>
        </w:numPr>
        <w:ind w:left="604"/>
        <w:jc w:val="both"/>
        <w:rPr>
          <w:rFonts w:ascii="Arial Narrow" w:hAnsi="Arial Narrow"/>
          <w:szCs w:val="24"/>
          <w:lang w:val="fr-FR"/>
        </w:rPr>
      </w:pPr>
      <w:r w:rsidRPr="00D11977">
        <w:rPr>
          <w:rFonts w:ascii="Arial Narrow" w:hAnsi="Arial Narrow"/>
          <w:szCs w:val="24"/>
          <w:lang w:val="fr-FR"/>
        </w:rPr>
        <w:t xml:space="preserve">Plaider pour </w:t>
      </w:r>
      <w:r>
        <w:rPr>
          <w:rFonts w:ascii="Arial Narrow" w:hAnsi="Arial Narrow"/>
          <w:szCs w:val="24"/>
          <w:lang w:val="fr-FR"/>
        </w:rPr>
        <w:t xml:space="preserve">le réseautage des OPFA </w:t>
      </w:r>
      <w:r w:rsidRPr="00D11977">
        <w:rPr>
          <w:rFonts w:ascii="Arial Narrow" w:hAnsi="Arial Narrow"/>
          <w:szCs w:val="24"/>
          <w:lang w:val="fr-FR"/>
        </w:rPr>
        <w:t>afin d'améliorer l'accès facile au financement ;</w:t>
      </w:r>
    </w:p>
    <w:p w:rsidR="00D11977" w:rsidRPr="00D11977" w:rsidRDefault="00D11977" w:rsidP="00D11977">
      <w:pPr>
        <w:pStyle w:val="Paragraphedeliste"/>
        <w:numPr>
          <w:ilvl w:val="0"/>
          <w:numId w:val="1"/>
        </w:numPr>
        <w:ind w:left="604"/>
        <w:jc w:val="both"/>
        <w:rPr>
          <w:rFonts w:ascii="Arial Narrow" w:hAnsi="Arial Narrow"/>
          <w:szCs w:val="24"/>
          <w:lang w:val="fr-FR"/>
        </w:rPr>
      </w:pPr>
      <w:r w:rsidRPr="00D11977">
        <w:rPr>
          <w:rFonts w:ascii="Arial Narrow" w:hAnsi="Arial Narrow"/>
          <w:szCs w:val="24"/>
          <w:lang w:val="fr-FR"/>
        </w:rPr>
        <w:t>Rechercher le mécanisme possible d'un partenariat efficace entre les OPFA et le secteur privé – à la fois pour l'incubation d'entreprises et la commercialisation agricole ;</w:t>
      </w:r>
    </w:p>
    <w:p w:rsidR="00D11977" w:rsidRPr="00D11977" w:rsidRDefault="00D11977" w:rsidP="00D11977">
      <w:pPr>
        <w:rPr>
          <w:b/>
          <w:bCs/>
          <w:lang w:val="fr-FR"/>
        </w:rPr>
      </w:pPr>
    </w:p>
    <w:p w:rsidR="00D11977" w:rsidRPr="00D11977" w:rsidRDefault="00D11977" w:rsidP="00D11977">
      <w:pPr>
        <w:jc w:val="both"/>
        <w:rPr>
          <w:rFonts w:ascii="Arial Narrow" w:hAnsi="Arial Narrow"/>
          <w:szCs w:val="24"/>
          <w:lang w:val="fr-FR"/>
        </w:rPr>
      </w:pPr>
      <w:r w:rsidRPr="00D11977">
        <w:rPr>
          <w:b/>
          <w:bCs/>
          <w:lang w:val="fr-FR"/>
        </w:rPr>
        <w:t>Sur le plan écologique</w:t>
      </w:r>
      <w:r w:rsidRPr="00D11977">
        <w:rPr>
          <w:rFonts w:ascii="Arial Narrow" w:hAnsi="Arial Narrow"/>
          <w:szCs w:val="24"/>
          <w:lang w:val="fr-FR"/>
        </w:rPr>
        <w:t xml:space="preserve"> </w:t>
      </w:r>
    </w:p>
    <w:p w:rsidR="00D11977"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Lier les activités avec la création des richesses au niveau local au-delà de la protection de l’environnement</w:t>
      </w:r>
    </w:p>
    <w:p w:rsidR="00D11977" w:rsidRPr="00D11977" w:rsidRDefault="00D11977" w:rsidP="00D11977">
      <w:pPr>
        <w:pStyle w:val="Paragraphedeliste"/>
        <w:numPr>
          <w:ilvl w:val="0"/>
          <w:numId w:val="1"/>
        </w:numPr>
        <w:jc w:val="both"/>
        <w:rPr>
          <w:rFonts w:ascii="Arial Narrow" w:hAnsi="Arial Narrow"/>
          <w:szCs w:val="24"/>
          <w:lang w:val="fr-FR"/>
        </w:rPr>
      </w:pPr>
      <w:r w:rsidRPr="00243FE8">
        <w:rPr>
          <w:rFonts w:ascii="Arial Narrow" w:hAnsi="Arial Narrow"/>
          <w:szCs w:val="24"/>
          <w:lang w:val="fr-FR"/>
        </w:rPr>
        <w:t xml:space="preserve">Construire les activités sur une vision à long terme avec un système intégré aux activités alternatives aux revenus </w:t>
      </w:r>
      <w:r w:rsidRPr="00D11977">
        <w:rPr>
          <w:rFonts w:ascii="Arial Narrow" w:hAnsi="Arial Narrow"/>
          <w:szCs w:val="24"/>
          <w:lang w:val="fr-FR"/>
        </w:rPr>
        <w:t>Développer les outils de communication qui est un moyen de se rendre visible mais aussi de diversification des partenaires</w:t>
      </w:r>
    </w:p>
    <w:p w:rsidR="00D11977" w:rsidRDefault="00D11977" w:rsidP="00D11977">
      <w:pPr>
        <w:rPr>
          <w:b/>
          <w:bCs/>
          <w:lang w:val="fr-FR"/>
        </w:rPr>
      </w:pPr>
    </w:p>
    <w:p w:rsidR="00D11977" w:rsidRDefault="00D11977" w:rsidP="00D11977">
      <w:pPr>
        <w:rPr>
          <w:b/>
          <w:bCs/>
          <w:lang w:val="fr-FR"/>
        </w:rPr>
      </w:pPr>
      <w:r>
        <w:rPr>
          <w:b/>
          <w:bCs/>
          <w:lang w:val="fr-FR"/>
        </w:rPr>
        <w:t>Sur le plan social</w:t>
      </w:r>
    </w:p>
    <w:p w:rsidR="00D11977" w:rsidRPr="00243FE8" w:rsidRDefault="00D11977" w:rsidP="00D11977">
      <w:pPr>
        <w:pStyle w:val="Paragraphedeliste"/>
        <w:numPr>
          <w:ilvl w:val="0"/>
          <w:numId w:val="1"/>
        </w:numPr>
        <w:ind w:left="604"/>
        <w:jc w:val="both"/>
        <w:rPr>
          <w:rFonts w:ascii="Arial Narrow" w:hAnsi="Arial Narrow"/>
          <w:szCs w:val="24"/>
          <w:lang w:val="fr-FR"/>
        </w:rPr>
      </w:pPr>
      <w:r>
        <w:rPr>
          <w:rFonts w:ascii="Arial Narrow" w:hAnsi="Arial Narrow"/>
          <w:szCs w:val="24"/>
          <w:lang w:val="fr-FR"/>
        </w:rPr>
        <w:t xml:space="preserve">Développer les outils de </w:t>
      </w:r>
      <w:r w:rsidRPr="00243FE8">
        <w:rPr>
          <w:rFonts w:ascii="Arial Narrow" w:hAnsi="Arial Narrow"/>
          <w:szCs w:val="24"/>
          <w:lang w:val="fr-FR"/>
        </w:rPr>
        <w:t xml:space="preserve">communication </w:t>
      </w:r>
      <w:r>
        <w:rPr>
          <w:rFonts w:ascii="Arial Narrow" w:hAnsi="Arial Narrow"/>
          <w:szCs w:val="24"/>
          <w:lang w:val="fr-FR"/>
        </w:rPr>
        <w:t xml:space="preserve">qui </w:t>
      </w:r>
      <w:r w:rsidRPr="00243FE8">
        <w:rPr>
          <w:rFonts w:ascii="Arial Narrow" w:hAnsi="Arial Narrow"/>
          <w:szCs w:val="24"/>
          <w:lang w:val="fr-FR"/>
        </w:rPr>
        <w:t>est un moyen de se rendre visible mais aussi de diversification des partenaires</w:t>
      </w:r>
    </w:p>
    <w:p w:rsidR="00D11977" w:rsidRPr="00243FE8" w:rsidRDefault="00D11977" w:rsidP="00D11977">
      <w:pPr>
        <w:pStyle w:val="Paragraphedeliste"/>
        <w:numPr>
          <w:ilvl w:val="0"/>
          <w:numId w:val="1"/>
        </w:numPr>
        <w:ind w:left="604"/>
        <w:jc w:val="both"/>
        <w:rPr>
          <w:rFonts w:ascii="Arial Narrow" w:hAnsi="Arial Narrow"/>
          <w:szCs w:val="24"/>
          <w:lang w:val="fr-FR"/>
        </w:rPr>
      </w:pPr>
      <w:r w:rsidRPr="00243FE8">
        <w:rPr>
          <w:rFonts w:ascii="Arial Narrow" w:hAnsi="Arial Narrow"/>
          <w:szCs w:val="24"/>
          <w:lang w:val="fr-FR"/>
        </w:rPr>
        <w:t>Mettre en place des mécanisme d’adaptation des expériences apprises dans les pays respectifs en tenant compte des réalités</w:t>
      </w:r>
    </w:p>
    <w:p w:rsidR="00D11977" w:rsidRDefault="00D11977" w:rsidP="00D11977">
      <w:pPr>
        <w:rPr>
          <w:b/>
          <w:bCs/>
          <w:lang w:val="fr-FR"/>
        </w:rPr>
      </w:pPr>
    </w:p>
    <w:p w:rsidR="00D11977" w:rsidRDefault="00D11977" w:rsidP="00D11977">
      <w:pPr>
        <w:rPr>
          <w:b/>
          <w:bCs/>
          <w:lang w:val="fr-FR"/>
        </w:rPr>
      </w:pPr>
      <w:r>
        <w:rPr>
          <w:b/>
          <w:bCs/>
          <w:lang w:val="fr-FR"/>
        </w:rPr>
        <w:t>Sur le plan physique</w:t>
      </w:r>
    </w:p>
    <w:p w:rsidR="00D11977" w:rsidRPr="00144403" w:rsidRDefault="00D11977" w:rsidP="00144403">
      <w:pPr>
        <w:pStyle w:val="Paragraphedeliste"/>
        <w:numPr>
          <w:ilvl w:val="0"/>
          <w:numId w:val="1"/>
        </w:numPr>
        <w:ind w:left="604"/>
        <w:jc w:val="both"/>
        <w:rPr>
          <w:rFonts w:ascii="Arial Narrow" w:hAnsi="Arial Narrow"/>
          <w:szCs w:val="24"/>
          <w:lang w:val="fr-FR"/>
        </w:rPr>
      </w:pPr>
      <w:r w:rsidRPr="00144403">
        <w:rPr>
          <w:rFonts w:ascii="Arial Narrow" w:hAnsi="Arial Narrow"/>
          <w:szCs w:val="24"/>
          <w:lang w:val="fr-FR"/>
        </w:rPr>
        <w:t>Mettre en place les zone</w:t>
      </w:r>
      <w:r w:rsidR="005E2FC6">
        <w:rPr>
          <w:rFonts w:ascii="Arial Narrow" w:hAnsi="Arial Narrow"/>
          <w:szCs w:val="24"/>
          <w:lang w:val="fr-FR"/>
        </w:rPr>
        <w:t>s</w:t>
      </w:r>
      <w:r w:rsidRPr="00144403">
        <w:rPr>
          <w:rFonts w:ascii="Arial Narrow" w:hAnsi="Arial Narrow"/>
          <w:szCs w:val="24"/>
          <w:lang w:val="fr-FR"/>
        </w:rPr>
        <w:t xml:space="preserve"> </w:t>
      </w:r>
      <w:r w:rsidR="00130C25" w:rsidRPr="00144403">
        <w:rPr>
          <w:rFonts w:ascii="Arial Narrow" w:hAnsi="Arial Narrow"/>
          <w:szCs w:val="24"/>
          <w:lang w:val="fr-FR"/>
        </w:rPr>
        <w:t>agroécologique</w:t>
      </w:r>
      <w:r w:rsidRPr="00144403">
        <w:rPr>
          <w:rFonts w:ascii="Arial Narrow" w:hAnsi="Arial Narrow"/>
          <w:szCs w:val="24"/>
          <w:lang w:val="fr-FR"/>
        </w:rPr>
        <w:t xml:space="preserve"> pour l’insertion des femmes et des jeunes sur au moins 20 ha dans la </w:t>
      </w:r>
      <w:r w:rsidR="00130C25" w:rsidRPr="00144403">
        <w:rPr>
          <w:rFonts w:ascii="Arial Narrow" w:hAnsi="Arial Narrow"/>
          <w:szCs w:val="24"/>
          <w:lang w:val="fr-FR"/>
        </w:rPr>
        <w:t>région</w:t>
      </w:r>
      <w:r w:rsidRPr="00144403">
        <w:rPr>
          <w:rFonts w:ascii="Arial Narrow" w:hAnsi="Arial Narrow"/>
          <w:szCs w:val="24"/>
          <w:lang w:val="fr-FR"/>
        </w:rPr>
        <w:t xml:space="preserve"> centrale et des savanes</w:t>
      </w:r>
      <w:r w:rsidR="005E2FC6">
        <w:rPr>
          <w:rFonts w:ascii="Arial Narrow" w:hAnsi="Arial Narrow"/>
          <w:szCs w:val="24"/>
          <w:lang w:val="fr-FR"/>
        </w:rPr>
        <w:t xml:space="preserve"> afin de renforcer la résilience économique des OPFA face aux changements</w:t>
      </w:r>
      <w:bookmarkStart w:id="0" w:name="_GoBack"/>
      <w:bookmarkEnd w:id="0"/>
      <w:r w:rsidR="005E2FC6">
        <w:rPr>
          <w:rFonts w:ascii="Arial Narrow" w:hAnsi="Arial Narrow"/>
          <w:szCs w:val="24"/>
          <w:lang w:val="fr-FR"/>
        </w:rPr>
        <w:t xml:space="preserve"> climatiques</w:t>
      </w:r>
    </w:p>
    <w:p w:rsidR="00D11977" w:rsidRPr="00144403" w:rsidRDefault="00D11977" w:rsidP="00144403">
      <w:pPr>
        <w:pStyle w:val="Paragraphedeliste"/>
        <w:numPr>
          <w:ilvl w:val="0"/>
          <w:numId w:val="1"/>
        </w:numPr>
        <w:ind w:left="604"/>
        <w:jc w:val="both"/>
        <w:rPr>
          <w:rFonts w:ascii="Arial Narrow" w:hAnsi="Arial Narrow"/>
          <w:szCs w:val="24"/>
          <w:lang w:val="fr-FR"/>
        </w:rPr>
      </w:pPr>
      <w:r w:rsidRPr="00144403">
        <w:rPr>
          <w:rFonts w:ascii="Arial Narrow" w:hAnsi="Arial Narrow"/>
          <w:szCs w:val="24"/>
          <w:lang w:val="fr-FR"/>
        </w:rPr>
        <w:t>Mobiliser</w:t>
      </w:r>
      <w:r w:rsidR="00144403" w:rsidRPr="00144403">
        <w:rPr>
          <w:rFonts w:ascii="Arial Narrow" w:hAnsi="Arial Narrow"/>
          <w:szCs w:val="24"/>
          <w:lang w:val="fr-FR"/>
        </w:rPr>
        <w:t xml:space="preserve"> chaque année </w:t>
      </w:r>
      <w:r w:rsidRPr="00144403">
        <w:rPr>
          <w:rFonts w:ascii="Arial Narrow" w:hAnsi="Arial Narrow"/>
          <w:szCs w:val="24"/>
          <w:lang w:val="fr-FR"/>
        </w:rPr>
        <w:t xml:space="preserve">10 communautés et OPFA pour </w:t>
      </w:r>
      <w:r w:rsidR="00144403" w:rsidRPr="00144403">
        <w:rPr>
          <w:rFonts w:ascii="Arial Narrow" w:hAnsi="Arial Narrow"/>
          <w:szCs w:val="24"/>
          <w:lang w:val="fr-FR"/>
        </w:rPr>
        <w:t>les activités</w:t>
      </w:r>
      <w:r w:rsidRPr="00144403">
        <w:rPr>
          <w:rFonts w:ascii="Arial Narrow" w:hAnsi="Arial Narrow"/>
          <w:szCs w:val="24"/>
          <w:lang w:val="fr-FR"/>
        </w:rPr>
        <w:t xml:space="preserve"> de reboisement de l’Eucalyptus (70%) ; anacarde </w:t>
      </w:r>
      <w:r w:rsidR="00144403" w:rsidRPr="00144403">
        <w:rPr>
          <w:rFonts w:ascii="Arial Narrow" w:hAnsi="Arial Narrow"/>
          <w:szCs w:val="24"/>
          <w:lang w:val="fr-FR"/>
        </w:rPr>
        <w:t>(20</w:t>
      </w:r>
      <w:r w:rsidRPr="00144403">
        <w:rPr>
          <w:rFonts w:ascii="Arial Narrow" w:hAnsi="Arial Narrow"/>
          <w:szCs w:val="24"/>
          <w:lang w:val="fr-FR"/>
        </w:rPr>
        <w:t xml:space="preserve">%) et </w:t>
      </w:r>
      <w:proofErr w:type="spellStart"/>
      <w:r w:rsidRPr="00144403">
        <w:rPr>
          <w:rFonts w:ascii="Arial Narrow" w:hAnsi="Arial Narrow"/>
          <w:szCs w:val="24"/>
          <w:lang w:val="fr-FR"/>
        </w:rPr>
        <w:t>Khaya</w:t>
      </w:r>
      <w:proofErr w:type="spellEnd"/>
      <w:r w:rsidRPr="00144403">
        <w:rPr>
          <w:rFonts w:ascii="Arial Narrow" w:hAnsi="Arial Narrow"/>
          <w:szCs w:val="24"/>
          <w:lang w:val="fr-FR"/>
        </w:rPr>
        <w:t xml:space="preserve"> (10%) sur au moins 50 hectares chacune sur une période de 20 ans dont les produits seront achetés par une société indienne SEQUIA avec qui un accord sera négocié dès le début</w:t>
      </w:r>
    </w:p>
    <w:p w:rsidR="00D11977" w:rsidRPr="00144403" w:rsidRDefault="00D11977" w:rsidP="00D6148F">
      <w:pPr>
        <w:pStyle w:val="Paragraphedeliste"/>
        <w:numPr>
          <w:ilvl w:val="0"/>
          <w:numId w:val="1"/>
        </w:numPr>
        <w:ind w:left="604"/>
        <w:jc w:val="both"/>
        <w:rPr>
          <w:b/>
          <w:bCs/>
          <w:lang w:val="fr-FR"/>
        </w:rPr>
      </w:pPr>
      <w:r w:rsidRPr="00144403">
        <w:rPr>
          <w:rFonts w:ascii="Arial Narrow" w:hAnsi="Arial Narrow"/>
          <w:szCs w:val="24"/>
          <w:lang w:val="fr-FR"/>
        </w:rPr>
        <w:t xml:space="preserve">Mobiliser au niveau des communautés 3.000 </w:t>
      </w:r>
      <w:r w:rsidR="00144403" w:rsidRPr="00144403">
        <w:rPr>
          <w:rFonts w:ascii="Arial Narrow" w:hAnsi="Arial Narrow"/>
          <w:szCs w:val="24"/>
          <w:lang w:val="fr-FR"/>
        </w:rPr>
        <w:t>hectares</w:t>
      </w:r>
      <w:r w:rsidRPr="00144403">
        <w:rPr>
          <w:rFonts w:ascii="Arial Narrow" w:hAnsi="Arial Narrow"/>
          <w:szCs w:val="24"/>
          <w:lang w:val="fr-FR"/>
        </w:rPr>
        <w:t xml:space="preserve"> en un tenant qui va être bailler à </w:t>
      </w:r>
      <w:r w:rsidR="00144403" w:rsidRPr="00144403">
        <w:rPr>
          <w:rFonts w:ascii="Arial Narrow" w:hAnsi="Arial Narrow"/>
          <w:szCs w:val="24"/>
          <w:lang w:val="fr-FR"/>
        </w:rPr>
        <w:t xml:space="preserve">la </w:t>
      </w:r>
      <w:r w:rsidR="00144403" w:rsidRPr="00144403">
        <w:rPr>
          <w:rFonts w:ascii="Arial Narrow" w:hAnsi="Arial Narrow"/>
          <w:szCs w:val="24"/>
          <w:lang w:val="fr-FR"/>
        </w:rPr>
        <w:t>société indienne SEQUIA</w:t>
      </w:r>
      <w:r w:rsidR="00144403" w:rsidRPr="00144403">
        <w:rPr>
          <w:rFonts w:ascii="Arial Narrow" w:hAnsi="Arial Narrow"/>
          <w:szCs w:val="24"/>
          <w:lang w:val="fr-FR"/>
        </w:rPr>
        <w:t xml:space="preserve"> qui va s’installer sur une période de 20 ans pour planter et exploiter </w:t>
      </w:r>
      <w:r w:rsidR="00144403" w:rsidRPr="00144403">
        <w:rPr>
          <w:rFonts w:ascii="Arial Narrow" w:hAnsi="Arial Narrow"/>
          <w:szCs w:val="24"/>
          <w:lang w:val="fr-FR"/>
        </w:rPr>
        <w:t xml:space="preserve">l’Eucalyptus (70%) ; anacarde </w:t>
      </w:r>
      <w:r w:rsidR="00144403" w:rsidRPr="00144403">
        <w:rPr>
          <w:rFonts w:ascii="Arial Narrow" w:hAnsi="Arial Narrow"/>
          <w:szCs w:val="24"/>
          <w:lang w:val="fr-FR"/>
        </w:rPr>
        <w:t>(20</w:t>
      </w:r>
      <w:r w:rsidR="00144403" w:rsidRPr="00144403">
        <w:rPr>
          <w:rFonts w:ascii="Arial Narrow" w:hAnsi="Arial Narrow"/>
          <w:szCs w:val="24"/>
          <w:lang w:val="fr-FR"/>
        </w:rPr>
        <w:t xml:space="preserve">%) et </w:t>
      </w:r>
      <w:proofErr w:type="spellStart"/>
      <w:r w:rsidR="00144403" w:rsidRPr="00144403">
        <w:rPr>
          <w:rFonts w:ascii="Arial Narrow" w:hAnsi="Arial Narrow"/>
          <w:szCs w:val="24"/>
          <w:lang w:val="fr-FR"/>
        </w:rPr>
        <w:t>Khaya</w:t>
      </w:r>
      <w:proofErr w:type="spellEnd"/>
      <w:r w:rsidR="00144403" w:rsidRPr="00144403">
        <w:rPr>
          <w:rFonts w:ascii="Arial Narrow" w:hAnsi="Arial Narrow"/>
          <w:szCs w:val="24"/>
          <w:lang w:val="fr-FR"/>
        </w:rPr>
        <w:t xml:space="preserve"> (10%)</w:t>
      </w:r>
    </w:p>
    <w:sectPr w:rsidR="00D11977" w:rsidRPr="00144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5A7631"/>
    <w:multiLevelType w:val="multilevel"/>
    <w:tmpl w:val="565A763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D1B2E27"/>
    <w:multiLevelType w:val="hybridMultilevel"/>
    <w:tmpl w:val="3AA88FDC"/>
    <w:lvl w:ilvl="0" w:tplc="96BAE6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E16B9A"/>
    <w:multiLevelType w:val="hybridMultilevel"/>
    <w:tmpl w:val="99700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977"/>
    <w:rsid w:val="00130C25"/>
    <w:rsid w:val="00144403"/>
    <w:rsid w:val="005E2FC6"/>
    <w:rsid w:val="00D11977"/>
    <w:rsid w:val="00E34948"/>
    <w:rsid w:val="00F6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1914"/>
  <w15:chartTrackingRefBased/>
  <w15:docId w15:val="{93DFE55A-BA2F-405F-BFDB-6B29387E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77"/>
    <w:pPr>
      <w:spacing w:after="0" w:line="240" w:lineRule="auto"/>
    </w:pPr>
    <w:rPr>
      <w:rFonts w:ascii="Times New Roman" w:eastAsia="Times New Roman" w:hAnsi="Times New Roman" w:cs="Times New Roman"/>
      <w:sz w:val="24"/>
      <w:szCs w:val="20"/>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11977"/>
    <w:pPr>
      <w:ind w:left="720"/>
      <w:contextualSpacing/>
    </w:pPr>
  </w:style>
  <w:style w:type="character" w:customStyle="1" w:styleId="ParagraphedelisteCar">
    <w:name w:val="Paragraphe de liste Car"/>
    <w:basedOn w:val="Policepardfaut"/>
    <w:link w:val="Paragraphedeliste"/>
    <w:uiPriority w:val="34"/>
    <w:qFormat/>
    <w:rsid w:val="00D11977"/>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416</Words>
  <Characters>2373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FAO of the UN</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Issifou, Aboudoumisamilou (FAOTG)</dc:creator>
  <cp:keywords/>
  <dc:description/>
  <cp:lastModifiedBy>Issifou, Aboudoumisamilou (FAOTG)</cp:lastModifiedBy>
  <cp:revision>3</cp:revision>
  <dcterms:created xsi:type="dcterms:W3CDTF">2022-10-06T12:57:00Z</dcterms:created>
  <dcterms:modified xsi:type="dcterms:W3CDTF">2022-10-06T13:21:00Z</dcterms:modified>
</cp:coreProperties>
</file>